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1AD" w:rsidRDefault="00EA11AD" w:rsidP="004208EF">
      <w:pPr>
        <w:pStyle w:val="Subtitle"/>
        <w:tabs>
          <w:tab w:val="left" w:pos="720"/>
          <w:tab w:val="left" w:pos="1440"/>
          <w:tab w:val="left" w:pos="2160"/>
          <w:tab w:val="left" w:pos="2880"/>
          <w:tab w:val="left" w:pos="3600"/>
          <w:tab w:val="left" w:pos="4320"/>
          <w:tab w:val="left" w:pos="4767"/>
        </w:tabs>
        <w:spacing w:after="240"/>
        <w:rPr>
          <w:b/>
          <w:i w:val="0"/>
          <w:color w:val="auto"/>
          <w:spacing w:val="0"/>
          <w:sz w:val="28"/>
          <w:szCs w:val="28"/>
        </w:rPr>
      </w:pPr>
      <w:bookmarkStart w:id="0" w:name="_GoBack"/>
      <w:bookmarkEnd w:id="0"/>
    </w:p>
    <w:p w:rsidR="00EA11AD" w:rsidRDefault="00EA11AD" w:rsidP="004208EF">
      <w:pPr>
        <w:pStyle w:val="Subtitle"/>
        <w:tabs>
          <w:tab w:val="left" w:pos="720"/>
          <w:tab w:val="left" w:pos="1440"/>
          <w:tab w:val="left" w:pos="2160"/>
          <w:tab w:val="left" w:pos="2880"/>
          <w:tab w:val="left" w:pos="3600"/>
          <w:tab w:val="left" w:pos="4320"/>
          <w:tab w:val="left" w:pos="4767"/>
        </w:tabs>
        <w:spacing w:after="240"/>
        <w:rPr>
          <w:b/>
          <w:i w:val="0"/>
          <w:color w:val="auto"/>
          <w:spacing w:val="0"/>
          <w:sz w:val="28"/>
          <w:szCs w:val="28"/>
        </w:rPr>
      </w:pPr>
    </w:p>
    <w:p w:rsidR="004208EF" w:rsidRPr="00231DCA" w:rsidRDefault="004208EF" w:rsidP="004208EF">
      <w:pPr>
        <w:pStyle w:val="Subtitle"/>
        <w:tabs>
          <w:tab w:val="left" w:pos="720"/>
          <w:tab w:val="left" w:pos="1440"/>
          <w:tab w:val="left" w:pos="2160"/>
          <w:tab w:val="left" w:pos="2880"/>
          <w:tab w:val="left" w:pos="3600"/>
          <w:tab w:val="left" w:pos="4320"/>
          <w:tab w:val="left" w:pos="4767"/>
        </w:tabs>
        <w:spacing w:after="240"/>
        <w:rPr>
          <w:b/>
          <w:i w:val="0"/>
          <w:color w:val="auto"/>
          <w:spacing w:val="0"/>
          <w:sz w:val="28"/>
          <w:szCs w:val="28"/>
        </w:rPr>
      </w:pPr>
      <w:r w:rsidRPr="00231DCA">
        <w:rPr>
          <w:b/>
          <w:i w:val="0"/>
          <w:color w:val="auto"/>
          <w:spacing w:val="0"/>
          <w:sz w:val="28"/>
          <w:szCs w:val="28"/>
        </w:rPr>
        <w:t>‘Approved provider’ and NSW Department of Education and Com</w:t>
      </w:r>
      <w:r>
        <w:rPr>
          <w:b/>
          <w:i w:val="0"/>
          <w:color w:val="auto"/>
          <w:spacing w:val="0"/>
          <w:sz w:val="28"/>
          <w:szCs w:val="28"/>
        </w:rPr>
        <w:t>munities [2013] ACECQARRPstr0003</w:t>
      </w:r>
      <w:r w:rsidRPr="00231DCA">
        <w:rPr>
          <w:b/>
          <w:i w:val="0"/>
          <w:color w:val="auto"/>
          <w:spacing w:val="0"/>
          <w:sz w:val="28"/>
          <w:szCs w:val="28"/>
        </w:rPr>
        <w:t xml:space="preserve"> (</w:t>
      </w:r>
      <w:r>
        <w:rPr>
          <w:b/>
          <w:i w:val="0"/>
          <w:color w:val="auto"/>
          <w:spacing w:val="0"/>
          <w:sz w:val="28"/>
          <w:szCs w:val="28"/>
        </w:rPr>
        <w:t>27 August</w:t>
      </w:r>
      <w:r w:rsidRPr="00231DCA">
        <w:rPr>
          <w:b/>
          <w:i w:val="0"/>
          <w:color w:val="auto"/>
          <w:spacing w:val="0"/>
          <w:sz w:val="28"/>
          <w:szCs w:val="28"/>
        </w:rPr>
        <w:t xml:space="preserve"> 2013)</w:t>
      </w:r>
    </w:p>
    <w:p w:rsidR="004208EF" w:rsidRPr="00231DCA" w:rsidRDefault="004208EF" w:rsidP="004208EF">
      <w:pPr>
        <w:spacing w:after="0" w:line="240" w:lineRule="auto"/>
        <w:rPr>
          <w:sz w:val="28"/>
          <w:szCs w:val="28"/>
        </w:rPr>
      </w:pPr>
      <w:r w:rsidRPr="00231DCA">
        <w:rPr>
          <w:b/>
          <w:sz w:val="28"/>
          <w:szCs w:val="28"/>
        </w:rPr>
        <w:t>Applicant:</w:t>
      </w:r>
      <w:r w:rsidRPr="00231DCA">
        <w:rPr>
          <w:sz w:val="28"/>
          <w:szCs w:val="28"/>
        </w:rPr>
        <w:t xml:space="preserve"> </w:t>
      </w:r>
      <w:r w:rsidRPr="00231DCA">
        <w:rPr>
          <w:sz w:val="28"/>
          <w:szCs w:val="28"/>
        </w:rPr>
        <w:tab/>
      </w:r>
      <w:r w:rsidRPr="00231DCA">
        <w:rPr>
          <w:sz w:val="28"/>
          <w:szCs w:val="28"/>
        </w:rPr>
        <w:tab/>
      </w:r>
      <w:r>
        <w:rPr>
          <w:sz w:val="28"/>
          <w:szCs w:val="28"/>
        </w:rPr>
        <w:tab/>
      </w:r>
      <w:r w:rsidRPr="00231DCA">
        <w:rPr>
          <w:sz w:val="28"/>
          <w:szCs w:val="28"/>
        </w:rPr>
        <w:tab/>
        <w:t xml:space="preserve">‘Approved </w:t>
      </w:r>
      <w:r>
        <w:rPr>
          <w:sz w:val="28"/>
          <w:szCs w:val="28"/>
        </w:rPr>
        <w:t>p</w:t>
      </w:r>
      <w:r w:rsidRPr="00231DCA">
        <w:rPr>
          <w:sz w:val="28"/>
          <w:szCs w:val="28"/>
        </w:rPr>
        <w:t>rovider’</w:t>
      </w:r>
    </w:p>
    <w:p w:rsidR="004208EF" w:rsidRDefault="004208EF" w:rsidP="004208EF">
      <w:pPr>
        <w:spacing w:before="0" w:line="240" w:lineRule="auto"/>
        <w:ind w:left="4320" w:hanging="4320"/>
        <w:rPr>
          <w:sz w:val="28"/>
          <w:szCs w:val="28"/>
        </w:rPr>
      </w:pPr>
      <w:r w:rsidRPr="00231DCA">
        <w:rPr>
          <w:b/>
          <w:sz w:val="28"/>
          <w:szCs w:val="28"/>
        </w:rPr>
        <w:t xml:space="preserve">Regulatory </w:t>
      </w:r>
      <w:r>
        <w:rPr>
          <w:b/>
          <w:sz w:val="28"/>
          <w:szCs w:val="28"/>
        </w:rPr>
        <w:t>a</w:t>
      </w:r>
      <w:r w:rsidRPr="00231DCA">
        <w:rPr>
          <w:b/>
          <w:sz w:val="28"/>
          <w:szCs w:val="28"/>
        </w:rPr>
        <w:t>uthority:</w:t>
      </w:r>
      <w:r w:rsidRPr="00231DCA">
        <w:rPr>
          <w:sz w:val="28"/>
          <w:szCs w:val="28"/>
        </w:rPr>
        <w:t xml:space="preserve"> </w:t>
      </w:r>
      <w:r>
        <w:rPr>
          <w:sz w:val="28"/>
          <w:szCs w:val="28"/>
        </w:rPr>
        <w:tab/>
      </w:r>
      <w:r w:rsidRPr="00231DCA">
        <w:rPr>
          <w:sz w:val="28"/>
          <w:szCs w:val="28"/>
        </w:rPr>
        <w:t>NSW Department of Education and</w:t>
      </w:r>
      <w:r>
        <w:rPr>
          <w:sz w:val="28"/>
          <w:szCs w:val="28"/>
        </w:rPr>
        <w:t xml:space="preserve"> Communities</w:t>
      </w:r>
    </w:p>
    <w:p w:rsidR="004208EF" w:rsidRDefault="004208EF" w:rsidP="004208EF">
      <w:pPr>
        <w:spacing w:after="0" w:line="240" w:lineRule="auto"/>
        <w:ind w:left="4320" w:hanging="4320"/>
        <w:rPr>
          <w:sz w:val="28"/>
          <w:szCs w:val="28"/>
        </w:rPr>
      </w:pPr>
      <w:r>
        <w:rPr>
          <w:b/>
          <w:sz w:val="28"/>
          <w:szCs w:val="28"/>
        </w:rPr>
        <w:t>Decision date:</w:t>
      </w:r>
      <w:r>
        <w:rPr>
          <w:sz w:val="28"/>
          <w:szCs w:val="28"/>
        </w:rPr>
        <w:tab/>
        <w:t>27 August 2013</w:t>
      </w:r>
    </w:p>
    <w:p w:rsidR="00D6330D" w:rsidRPr="00231DCA" w:rsidRDefault="004208EF" w:rsidP="004208EF">
      <w:pPr>
        <w:spacing w:before="0" w:after="240"/>
        <w:ind w:left="4321" w:hanging="4321"/>
        <w:rPr>
          <w:sz w:val="28"/>
          <w:szCs w:val="28"/>
        </w:rPr>
      </w:pPr>
      <w:r>
        <w:rPr>
          <w:b/>
          <w:sz w:val="28"/>
          <w:szCs w:val="28"/>
        </w:rPr>
        <w:t>Application reference:</w:t>
      </w:r>
      <w:r>
        <w:rPr>
          <w:sz w:val="28"/>
          <w:szCs w:val="28"/>
        </w:rPr>
        <w:tab/>
        <w:t>STR0003</w:t>
      </w:r>
    </w:p>
    <w:p w:rsidR="00D6330D" w:rsidRPr="00461912" w:rsidRDefault="00D6330D" w:rsidP="00D6330D">
      <w:pPr>
        <w:pStyle w:val="BodyText"/>
        <w:spacing w:line="276" w:lineRule="auto"/>
        <w:ind w:left="1440" w:hanging="1440"/>
        <w:rPr>
          <w:rFonts w:cs="Arial"/>
          <w:szCs w:val="24"/>
        </w:rPr>
      </w:pPr>
      <w:r w:rsidRPr="00461912">
        <w:rPr>
          <w:rStyle w:val="Strong"/>
          <w:rFonts w:cs="Arial"/>
          <w:szCs w:val="24"/>
        </w:rPr>
        <w:t>Decision</w:t>
      </w:r>
      <w:r w:rsidRPr="00461912">
        <w:rPr>
          <w:rFonts w:cs="Arial"/>
          <w:szCs w:val="24"/>
        </w:rPr>
        <w:tab/>
      </w:r>
    </w:p>
    <w:p w:rsidR="004208EF" w:rsidRPr="00461912" w:rsidRDefault="004208EF" w:rsidP="004208EF">
      <w:pPr>
        <w:pStyle w:val="ListParagraph"/>
        <w:spacing w:before="0" w:after="0"/>
        <w:ind w:left="0"/>
        <w:rPr>
          <w:rFonts w:cs="Arial"/>
          <w:sz w:val="24"/>
          <w:szCs w:val="24"/>
          <w14:cntxtAlts/>
        </w:rPr>
      </w:pPr>
      <w:r w:rsidRPr="00461912">
        <w:rPr>
          <w:rFonts w:cs="Arial"/>
          <w:sz w:val="24"/>
          <w:szCs w:val="24"/>
          <w14:cntxtAlts/>
        </w:rPr>
        <w:t xml:space="preserve">The Ratings Review Panel (the Panel) by consensus has decided to confirm that element 2.2.2 is assessed as ‘not met’. </w:t>
      </w:r>
      <w:r w:rsidRPr="00461912">
        <w:rPr>
          <w:rFonts w:cs="Arial"/>
          <w:bCs/>
          <w:sz w:val="24"/>
          <w:szCs w:val="24"/>
        </w:rPr>
        <w:t>As a result, the Panel has confirmed that the rating level for standard 2.2 is ‘Working Towards National Quality Standard (NQS)’ and quality area 2 is ‘Working Towards NQS’.</w:t>
      </w:r>
    </w:p>
    <w:p w:rsidR="004208EF" w:rsidRPr="00461912" w:rsidRDefault="004208EF" w:rsidP="004208EF">
      <w:pPr>
        <w:pStyle w:val="ListParagraph"/>
        <w:spacing w:before="0" w:after="0"/>
        <w:ind w:left="0"/>
        <w:rPr>
          <w:rFonts w:cs="Arial"/>
          <w:sz w:val="24"/>
          <w:szCs w:val="24"/>
          <w14:cntxtAlts/>
        </w:rPr>
      </w:pPr>
    </w:p>
    <w:p w:rsidR="004208EF" w:rsidRPr="00461912" w:rsidRDefault="004208EF" w:rsidP="004208EF">
      <w:pPr>
        <w:pStyle w:val="ListParagraph"/>
        <w:spacing w:before="0" w:after="0"/>
        <w:ind w:left="0"/>
        <w:rPr>
          <w:rFonts w:cs="Arial"/>
          <w:sz w:val="24"/>
          <w:szCs w:val="24"/>
          <w14:cntxtAlts/>
        </w:rPr>
      </w:pPr>
      <w:r w:rsidRPr="00461912">
        <w:rPr>
          <w:rFonts w:cs="Arial"/>
          <w:sz w:val="24"/>
          <w:szCs w:val="24"/>
          <w14:cntxtAlts/>
        </w:rPr>
        <w:t xml:space="preserve">The Panel by consensus has decided to amend the assessment of element 3.3.1 from ‘not met’ to ‘met’. As a result, the rating level for standard 3.3 is amended to ‘Meeting NQS’ and the </w:t>
      </w:r>
      <w:r w:rsidRPr="00461912">
        <w:rPr>
          <w:rFonts w:cs="Arial"/>
          <w:bCs/>
          <w:sz w:val="24"/>
          <w:szCs w:val="24"/>
        </w:rPr>
        <w:t xml:space="preserve">rating level for quality area 3 is </w:t>
      </w:r>
      <w:r w:rsidRPr="00461912">
        <w:rPr>
          <w:rFonts w:cs="Arial"/>
          <w:sz w:val="24"/>
          <w:szCs w:val="24"/>
          <w14:cntxtAlts/>
        </w:rPr>
        <w:t>‘Meeting NQS’.</w:t>
      </w:r>
    </w:p>
    <w:p w:rsidR="004208EF" w:rsidRPr="00461912" w:rsidRDefault="004208EF" w:rsidP="004208EF">
      <w:pPr>
        <w:pStyle w:val="ListParagraph"/>
        <w:spacing w:before="0" w:after="0"/>
        <w:ind w:left="0"/>
        <w:rPr>
          <w:rFonts w:cs="Arial"/>
          <w:sz w:val="24"/>
          <w:szCs w:val="24"/>
          <w14:cntxtAlts/>
        </w:rPr>
      </w:pPr>
    </w:p>
    <w:p w:rsidR="004208EF" w:rsidRPr="00461912" w:rsidRDefault="004208EF" w:rsidP="004208EF">
      <w:pPr>
        <w:pStyle w:val="ListParagraph"/>
        <w:spacing w:before="0" w:after="0"/>
        <w:ind w:left="0"/>
        <w:rPr>
          <w:rFonts w:cs="Arial"/>
          <w:sz w:val="24"/>
          <w:szCs w:val="24"/>
          <w14:cntxtAlts/>
        </w:rPr>
      </w:pPr>
      <w:r w:rsidRPr="00461912">
        <w:rPr>
          <w:rFonts w:cs="Arial"/>
          <w:sz w:val="24"/>
          <w:szCs w:val="24"/>
          <w14:cntxtAlts/>
        </w:rPr>
        <w:t xml:space="preserve">While one element was amended by the Panel, which triggered the amendment of one of the two standards under review and one of the two quality areas, the change in assessment of the element did not affect the overall rating of the service. </w:t>
      </w:r>
    </w:p>
    <w:p w:rsidR="004208EF" w:rsidRPr="00461912" w:rsidRDefault="004208EF" w:rsidP="004208EF">
      <w:pPr>
        <w:pStyle w:val="ListParagraph"/>
        <w:spacing w:before="0" w:after="0"/>
        <w:ind w:left="0"/>
        <w:rPr>
          <w:rFonts w:cs="Arial"/>
          <w:sz w:val="24"/>
          <w:szCs w:val="24"/>
          <w14:cntxtAlts/>
        </w:rPr>
      </w:pPr>
    </w:p>
    <w:p w:rsidR="00D6330D" w:rsidRPr="00EA11AD" w:rsidRDefault="004208EF" w:rsidP="00EA11AD">
      <w:pPr>
        <w:pStyle w:val="ListParagraph"/>
        <w:spacing w:before="0" w:after="0"/>
        <w:ind w:left="0"/>
        <w:rPr>
          <w:rFonts w:cs="Arial"/>
          <w:sz w:val="24"/>
          <w:szCs w:val="24"/>
          <w14:cntxtAlts/>
        </w:rPr>
      </w:pPr>
      <w:r w:rsidRPr="00461912">
        <w:rPr>
          <w:rFonts w:cs="Arial"/>
          <w:bCs/>
          <w:sz w:val="24"/>
          <w:szCs w:val="24"/>
        </w:rPr>
        <w:t>The panel confirmed the overall rating for the service is ‘Working Towards NQS’</w:t>
      </w:r>
      <w:r w:rsidRPr="00461912">
        <w:rPr>
          <w:rFonts w:cs="Arial"/>
          <w:sz w:val="24"/>
          <w:szCs w:val="24"/>
          <w14:cntxtAlts/>
        </w:rPr>
        <w:t>.</w:t>
      </w:r>
    </w:p>
    <w:p w:rsidR="00D6330D" w:rsidRPr="00461912" w:rsidRDefault="00D6330D" w:rsidP="00D6330D">
      <w:pPr>
        <w:rPr>
          <w:rFonts w:cs="Arial"/>
          <w:b/>
          <w:sz w:val="24"/>
          <w:szCs w:val="24"/>
        </w:rPr>
      </w:pPr>
      <w:r w:rsidRPr="00461912">
        <w:rPr>
          <w:rFonts w:cs="Arial"/>
          <w:b/>
          <w:sz w:val="24"/>
          <w:szCs w:val="24"/>
        </w:rPr>
        <w:t>Issues under review</w:t>
      </w:r>
    </w:p>
    <w:p w:rsidR="004208EF" w:rsidRPr="00461912" w:rsidRDefault="004208EF" w:rsidP="004208EF">
      <w:pPr>
        <w:pStyle w:val="BodyText"/>
        <w:numPr>
          <w:ilvl w:val="0"/>
          <w:numId w:val="6"/>
        </w:numPr>
        <w:spacing w:before="240" w:after="120" w:line="288" w:lineRule="auto"/>
        <w:ind w:left="426" w:hanging="426"/>
        <w:rPr>
          <w:rFonts w:cs="Arial"/>
          <w:szCs w:val="24"/>
        </w:rPr>
      </w:pPr>
      <w:r w:rsidRPr="00461912">
        <w:rPr>
          <w:rFonts w:cs="Arial"/>
          <w:szCs w:val="24"/>
        </w:rPr>
        <w:t xml:space="preserve">The approved provider sought a review of the following: </w:t>
      </w:r>
    </w:p>
    <w:p w:rsidR="004208EF" w:rsidRPr="00461912" w:rsidRDefault="004208EF" w:rsidP="004208EF">
      <w:pPr>
        <w:pStyle w:val="ListParagraph"/>
        <w:numPr>
          <w:ilvl w:val="0"/>
          <w:numId w:val="7"/>
        </w:numPr>
        <w:autoSpaceDE w:val="0"/>
        <w:autoSpaceDN w:val="0"/>
        <w:adjustRightInd w:val="0"/>
        <w:spacing w:line="288" w:lineRule="auto"/>
        <w:ind w:left="1417" w:hanging="357"/>
        <w:rPr>
          <w:rFonts w:cs="Arial"/>
          <w:color w:val="000000"/>
          <w:sz w:val="24"/>
          <w:szCs w:val="24"/>
        </w:rPr>
      </w:pPr>
      <w:r w:rsidRPr="00461912">
        <w:rPr>
          <w:rFonts w:cs="Arial"/>
          <w:color w:val="000000"/>
          <w:sz w:val="24"/>
          <w:szCs w:val="24"/>
        </w:rPr>
        <w:t xml:space="preserve">Quality Area 2, standard 2.2 (element 2.2.2) </w:t>
      </w:r>
    </w:p>
    <w:p w:rsidR="004208EF" w:rsidRPr="00461912" w:rsidRDefault="004208EF" w:rsidP="004208EF">
      <w:pPr>
        <w:pStyle w:val="ListParagraph"/>
        <w:numPr>
          <w:ilvl w:val="0"/>
          <w:numId w:val="7"/>
        </w:numPr>
        <w:autoSpaceDE w:val="0"/>
        <w:autoSpaceDN w:val="0"/>
        <w:adjustRightInd w:val="0"/>
        <w:spacing w:line="288" w:lineRule="auto"/>
        <w:ind w:left="1417" w:hanging="357"/>
        <w:contextualSpacing w:val="0"/>
        <w:rPr>
          <w:rFonts w:eastAsia="Batang" w:cs="Arial"/>
          <w:sz w:val="24"/>
          <w:szCs w:val="24"/>
        </w:rPr>
      </w:pPr>
      <w:r w:rsidRPr="00461912">
        <w:rPr>
          <w:rFonts w:cs="Arial"/>
          <w:color w:val="000000"/>
          <w:sz w:val="24"/>
          <w:szCs w:val="24"/>
        </w:rPr>
        <w:t xml:space="preserve">Quality Area 3, standard 3.3 (element 3.3.1). </w:t>
      </w:r>
    </w:p>
    <w:p w:rsidR="004208EF" w:rsidRPr="00461912" w:rsidRDefault="004208EF" w:rsidP="004208EF">
      <w:pPr>
        <w:pStyle w:val="BodyText"/>
        <w:numPr>
          <w:ilvl w:val="0"/>
          <w:numId w:val="6"/>
        </w:numPr>
        <w:spacing w:before="120" w:after="120" w:line="288" w:lineRule="auto"/>
        <w:ind w:left="426" w:hanging="426"/>
        <w:rPr>
          <w:rFonts w:cs="Arial"/>
          <w:szCs w:val="24"/>
        </w:rPr>
      </w:pPr>
      <w:r w:rsidRPr="00461912">
        <w:rPr>
          <w:rFonts w:eastAsia="Arial" w:cs="Arial"/>
          <w:szCs w:val="24"/>
          <w14:cntxtAlts/>
        </w:rPr>
        <w:t xml:space="preserve">The approved provider sought a review on the grounds </w:t>
      </w:r>
      <w:r w:rsidRPr="00461912">
        <w:rPr>
          <w:rFonts w:cs="Arial"/>
          <w:szCs w:val="24"/>
        </w:rPr>
        <w:t xml:space="preserve">that the Regulatory Authority: </w:t>
      </w:r>
    </w:p>
    <w:p w:rsidR="004208EF" w:rsidRPr="00461912" w:rsidRDefault="004208EF" w:rsidP="004208EF">
      <w:pPr>
        <w:pStyle w:val="ListParagraph"/>
        <w:numPr>
          <w:ilvl w:val="0"/>
          <w:numId w:val="8"/>
        </w:numPr>
        <w:spacing w:line="288" w:lineRule="auto"/>
        <w:ind w:left="1276"/>
        <w:contextualSpacing w:val="0"/>
        <w:rPr>
          <w:rFonts w:cs="Arial"/>
          <w:sz w:val="24"/>
          <w:szCs w:val="24"/>
        </w:rPr>
      </w:pPr>
      <w:r w:rsidRPr="00461912">
        <w:rPr>
          <w:rFonts w:cs="Arial"/>
          <w:sz w:val="24"/>
          <w:szCs w:val="24"/>
        </w:rPr>
        <w:t>did not appropriately apply the prescribed processes for determining a rating level (section 144(3)(a)), and</w:t>
      </w:r>
    </w:p>
    <w:p w:rsidR="00900970" w:rsidRDefault="004208EF" w:rsidP="00900970">
      <w:pPr>
        <w:pStyle w:val="ListParagraph"/>
        <w:numPr>
          <w:ilvl w:val="0"/>
          <w:numId w:val="8"/>
        </w:numPr>
        <w:spacing w:line="288" w:lineRule="auto"/>
        <w:ind w:left="1276"/>
        <w:contextualSpacing w:val="0"/>
        <w:rPr>
          <w:rFonts w:cs="Arial"/>
          <w:sz w:val="24"/>
          <w:szCs w:val="24"/>
        </w:rPr>
      </w:pPr>
      <w:proofErr w:type="gramStart"/>
      <w:r w:rsidRPr="00461912">
        <w:rPr>
          <w:rFonts w:cs="Arial"/>
          <w:sz w:val="24"/>
          <w:szCs w:val="24"/>
        </w:rPr>
        <w:t>failed</w:t>
      </w:r>
      <w:proofErr w:type="gramEnd"/>
      <w:r w:rsidRPr="00461912">
        <w:rPr>
          <w:rFonts w:cs="Arial"/>
          <w:sz w:val="24"/>
          <w:szCs w:val="24"/>
        </w:rPr>
        <w:t xml:space="preserve"> to take into account or give sufficient weight to special circumstances existing or facts existing at the time of the rating assessment (section 144(3)(b)).</w:t>
      </w:r>
    </w:p>
    <w:p w:rsidR="004208EF" w:rsidRPr="00EA11AD" w:rsidRDefault="004208EF" w:rsidP="00EA11AD">
      <w:pPr>
        <w:pStyle w:val="BodyText"/>
        <w:numPr>
          <w:ilvl w:val="0"/>
          <w:numId w:val="6"/>
        </w:numPr>
        <w:spacing w:before="120" w:after="120" w:line="288" w:lineRule="auto"/>
        <w:ind w:left="425" w:hanging="425"/>
        <w:rPr>
          <w:rFonts w:cs="Arial"/>
          <w:szCs w:val="24"/>
        </w:rPr>
      </w:pPr>
      <w:r w:rsidRPr="00900970">
        <w:rPr>
          <w:rFonts w:cs="Arial"/>
          <w:szCs w:val="24"/>
        </w:rPr>
        <w:lastRenderedPageBreak/>
        <w:t xml:space="preserve">After the initial assessment, the service was rated as ‘Working Towards NQS’ for standards 2.1, 2.2, 3.3, 5.2 and 6.3. </w:t>
      </w:r>
      <w:r w:rsidRPr="00EA11AD">
        <w:rPr>
          <w:rFonts w:cs="Arial"/>
          <w:szCs w:val="24"/>
        </w:rPr>
        <w:t>T</w:t>
      </w:r>
      <w:r w:rsidRPr="00EA11AD">
        <w:rPr>
          <w:rFonts w:eastAsia="Arial" w:cs="Arial"/>
          <w:szCs w:val="24"/>
          <w14:cntxtAlts/>
        </w:rPr>
        <w:t xml:space="preserve">he approved provider applied for first tier review on the basis that the Regulatory Authority did not consider evidence, available on the day, in its assessment and that </w:t>
      </w:r>
      <w:r w:rsidRPr="00EA11AD">
        <w:rPr>
          <w:rFonts w:cs="Arial"/>
          <w:color w:val="000000"/>
          <w:szCs w:val="24"/>
        </w:rPr>
        <w:t xml:space="preserve">the </w:t>
      </w:r>
      <w:r w:rsidR="00461912" w:rsidRPr="00EA11AD">
        <w:rPr>
          <w:rFonts w:cs="Arial"/>
          <w:color w:val="000000"/>
          <w:szCs w:val="24"/>
        </w:rPr>
        <w:t xml:space="preserve">authorised </w:t>
      </w:r>
      <w:r w:rsidRPr="00EA11AD">
        <w:rPr>
          <w:rFonts w:cs="Arial"/>
          <w:color w:val="000000"/>
          <w:szCs w:val="24"/>
        </w:rPr>
        <w:t>officer’s personal opinions were given more weight than facts in determining the ratings</w:t>
      </w:r>
      <w:r w:rsidRPr="00EA11AD">
        <w:rPr>
          <w:rFonts w:eastAsia="Arial" w:cs="Arial"/>
          <w:szCs w:val="24"/>
          <w14:cntxtAlts/>
        </w:rPr>
        <w:t xml:space="preserve">. </w:t>
      </w:r>
      <w:r w:rsidRPr="00EA11AD">
        <w:rPr>
          <w:rFonts w:cs="Arial"/>
          <w:color w:val="000000"/>
          <w:szCs w:val="24"/>
        </w:rPr>
        <w:t xml:space="preserve">Further, </w:t>
      </w:r>
      <w:r w:rsidRPr="00EA11AD">
        <w:rPr>
          <w:rFonts w:eastAsia="Arial" w:cs="Arial"/>
          <w:szCs w:val="24"/>
          <w14:cntxtAlts/>
        </w:rPr>
        <w:t xml:space="preserve">the approved provider asserted </w:t>
      </w:r>
      <w:r w:rsidRPr="00EA11AD">
        <w:rPr>
          <w:rFonts w:cs="Arial"/>
          <w:color w:val="000000"/>
          <w:szCs w:val="24"/>
        </w:rPr>
        <w:t>that the first tier review was not completed within the legislated 30 day timeframe, meaning the prescribed processes for completing a first tier review were not applied.</w:t>
      </w:r>
    </w:p>
    <w:p w:rsidR="00D6330D" w:rsidRPr="00461912" w:rsidRDefault="00592C67" w:rsidP="004208EF">
      <w:pPr>
        <w:rPr>
          <w:rFonts w:cs="Arial"/>
          <w:b/>
          <w:sz w:val="24"/>
          <w:szCs w:val="24"/>
        </w:rPr>
      </w:pPr>
      <w:r>
        <w:rPr>
          <w:rFonts w:cs="Arial"/>
          <w:b/>
          <w:sz w:val="24"/>
          <w:szCs w:val="24"/>
        </w:rPr>
        <w:t>First tier</w:t>
      </w:r>
      <w:r w:rsidR="00D6330D" w:rsidRPr="00461912">
        <w:rPr>
          <w:rFonts w:cs="Arial"/>
          <w:b/>
          <w:sz w:val="24"/>
          <w:szCs w:val="24"/>
        </w:rPr>
        <w:t xml:space="preserve"> </w:t>
      </w:r>
      <w:r>
        <w:rPr>
          <w:rFonts w:cs="Arial"/>
          <w:b/>
          <w:sz w:val="24"/>
          <w:szCs w:val="24"/>
        </w:rPr>
        <w:t>re</w:t>
      </w:r>
      <w:r w:rsidR="00D6330D" w:rsidRPr="00461912">
        <w:rPr>
          <w:rFonts w:cs="Arial"/>
          <w:b/>
          <w:sz w:val="24"/>
          <w:szCs w:val="24"/>
        </w:rPr>
        <w:t>view</w:t>
      </w:r>
    </w:p>
    <w:p w:rsidR="004208EF" w:rsidRPr="00461912" w:rsidRDefault="004208EF" w:rsidP="004208EF">
      <w:pPr>
        <w:pStyle w:val="ListParagraph"/>
        <w:numPr>
          <w:ilvl w:val="0"/>
          <w:numId w:val="6"/>
        </w:numPr>
        <w:ind w:left="426" w:hanging="426"/>
        <w:contextualSpacing w:val="0"/>
        <w:rPr>
          <w:rFonts w:eastAsia="Arial" w:cs="Arial"/>
          <w:sz w:val="24"/>
          <w:szCs w:val="24"/>
          <w14:cntxtAlts/>
        </w:rPr>
      </w:pPr>
      <w:r w:rsidRPr="00461912">
        <w:rPr>
          <w:rFonts w:cs="Arial"/>
          <w:color w:val="000000"/>
          <w:sz w:val="24"/>
          <w:szCs w:val="24"/>
        </w:rPr>
        <w:t>At first tier review, the Regulatory Authority amended the rating levels for standards 2.1, 5.2 and 6.3. The rating levels for standards 2.2 and 3.3 remained unchanged at ‘Working towards NQS’.</w:t>
      </w:r>
    </w:p>
    <w:p w:rsidR="00D6330D" w:rsidRPr="00461912" w:rsidRDefault="00D6330D" w:rsidP="00D6330D">
      <w:pPr>
        <w:rPr>
          <w:rFonts w:cs="Arial"/>
          <w:b/>
          <w:sz w:val="24"/>
          <w:szCs w:val="24"/>
        </w:rPr>
      </w:pPr>
      <w:r w:rsidRPr="00461912">
        <w:rPr>
          <w:rFonts w:cs="Arial"/>
          <w:b/>
          <w:sz w:val="24"/>
          <w:szCs w:val="24"/>
        </w:rPr>
        <w:t>Applicant’s view</w:t>
      </w:r>
    </w:p>
    <w:p w:rsidR="004208EF" w:rsidRPr="00461912" w:rsidRDefault="004208EF" w:rsidP="004208EF">
      <w:pPr>
        <w:pStyle w:val="ListParagraph"/>
        <w:numPr>
          <w:ilvl w:val="0"/>
          <w:numId w:val="6"/>
        </w:numPr>
        <w:ind w:left="426" w:hanging="426"/>
        <w:contextualSpacing w:val="0"/>
        <w:rPr>
          <w:rFonts w:cs="Arial"/>
          <w:b/>
          <w:sz w:val="24"/>
          <w:szCs w:val="24"/>
          <w14:cntxtAlts/>
        </w:rPr>
      </w:pPr>
      <w:r w:rsidRPr="00461912">
        <w:rPr>
          <w:rFonts w:eastAsia="Arial" w:cs="Arial"/>
          <w:sz w:val="24"/>
          <w:szCs w:val="24"/>
          <w14:cntxtAlts/>
        </w:rPr>
        <w:t xml:space="preserve">The approved provider claimed in its application for second tier review that the assessing authorised officer (the officer) did not consider all evidence available on the day of the assessment and rating visit. Specifically, that the officer did not review relevant documents or ask questions of educators to gather enough evidence to be able to determine an accurate rating. The approved provider also claimed that the officer’s personal opinions were given more weight than facts in determining the ratings. </w:t>
      </w:r>
    </w:p>
    <w:p w:rsidR="004208EF" w:rsidRPr="00461912" w:rsidRDefault="004208EF" w:rsidP="004208EF">
      <w:pPr>
        <w:pStyle w:val="ListParagraph"/>
        <w:numPr>
          <w:ilvl w:val="0"/>
          <w:numId w:val="6"/>
        </w:numPr>
        <w:ind w:left="426" w:hanging="426"/>
        <w:contextualSpacing w:val="0"/>
        <w:rPr>
          <w:rFonts w:cs="Arial"/>
          <w:b/>
          <w:sz w:val="24"/>
          <w:szCs w:val="24"/>
          <w14:cntxtAlts/>
        </w:rPr>
      </w:pPr>
      <w:r w:rsidRPr="00461912">
        <w:rPr>
          <w:rFonts w:eastAsia="Arial" w:cs="Arial"/>
          <w:sz w:val="24"/>
          <w:szCs w:val="24"/>
          <w14:cntxtAlts/>
        </w:rPr>
        <w:t xml:space="preserve">The approved provider claimed that the outcome of the first tier review was negatively influenced by the fact that the only evidence considered was evidence recorded by the officer at the time of the visit. </w:t>
      </w:r>
    </w:p>
    <w:p w:rsidR="004208EF" w:rsidRPr="00461912" w:rsidRDefault="004208EF" w:rsidP="004208EF">
      <w:pPr>
        <w:pStyle w:val="ListParagraph"/>
        <w:numPr>
          <w:ilvl w:val="0"/>
          <w:numId w:val="6"/>
        </w:numPr>
        <w:ind w:left="426" w:hanging="426"/>
        <w:contextualSpacing w:val="0"/>
        <w:rPr>
          <w:rFonts w:cs="Arial"/>
          <w:b/>
          <w:sz w:val="24"/>
          <w:szCs w:val="24"/>
          <w14:cntxtAlts/>
        </w:rPr>
      </w:pPr>
      <w:r w:rsidRPr="00461912">
        <w:rPr>
          <w:rFonts w:eastAsia="Arial" w:cs="Arial"/>
          <w:sz w:val="24"/>
          <w:szCs w:val="24"/>
          <w14:cntxtAlts/>
        </w:rPr>
        <w:t xml:space="preserve">Further, the approved provider asserted that the first tier review was not completed within the legislated </w:t>
      </w:r>
      <w:proofErr w:type="gramStart"/>
      <w:r w:rsidRPr="00461912">
        <w:rPr>
          <w:rFonts w:eastAsia="Arial" w:cs="Arial"/>
          <w:sz w:val="24"/>
          <w:szCs w:val="24"/>
          <w14:cntxtAlts/>
        </w:rPr>
        <w:t>30 day</w:t>
      </w:r>
      <w:proofErr w:type="gramEnd"/>
      <w:r w:rsidRPr="00461912">
        <w:rPr>
          <w:rFonts w:eastAsia="Arial" w:cs="Arial"/>
          <w:sz w:val="24"/>
          <w:szCs w:val="24"/>
          <w14:cntxtAlts/>
        </w:rPr>
        <w:t xml:space="preserve"> timeframe, and that the Regulatory Authority did not request further information </w:t>
      </w:r>
      <w:r w:rsidR="00900970">
        <w:rPr>
          <w:rFonts w:eastAsia="Arial" w:cs="Arial"/>
          <w:sz w:val="24"/>
          <w:szCs w:val="24"/>
          <w14:cntxtAlts/>
        </w:rPr>
        <w:t>or seek to extend the timeframe</w:t>
      </w:r>
      <w:r w:rsidRPr="00461912">
        <w:rPr>
          <w:rFonts w:eastAsia="Arial" w:cs="Arial"/>
          <w:sz w:val="24"/>
          <w:szCs w:val="24"/>
          <w14:cntxtAlts/>
        </w:rPr>
        <w:t>.</w:t>
      </w:r>
    </w:p>
    <w:p w:rsidR="00D6330D" w:rsidRPr="00461912" w:rsidRDefault="00D6330D" w:rsidP="00D6330D">
      <w:pPr>
        <w:spacing w:before="0" w:after="0" w:line="240" w:lineRule="auto"/>
        <w:rPr>
          <w:rFonts w:cs="Arial"/>
          <w:b/>
          <w:sz w:val="24"/>
          <w:szCs w:val="24"/>
        </w:rPr>
      </w:pPr>
      <w:r w:rsidRPr="00461912">
        <w:rPr>
          <w:rFonts w:cs="Arial"/>
          <w:b/>
          <w:sz w:val="24"/>
          <w:szCs w:val="24"/>
        </w:rPr>
        <w:t>Evidence before the panel</w:t>
      </w:r>
    </w:p>
    <w:p w:rsidR="00461912" w:rsidRPr="00461912" w:rsidRDefault="00461912" w:rsidP="00461912">
      <w:pPr>
        <w:pStyle w:val="ListParagraph"/>
        <w:numPr>
          <w:ilvl w:val="0"/>
          <w:numId w:val="6"/>
        </w:numPr>
        <w:ind w:left="426" w:hanging="426"/>
        <w:contextualSpacing w:val="0"/>
        <w:rPr>
          <w:rFonts w:eastAsia="Arial" w:cs="Arial"/>
          <w:sz w:val="24"/>
          <w:szCs w:val="24"/>
          <w14:cntxtAlts/>
        </w:rPr>
      </w:pPr>
      <w:r w:rsidRPr="00461912">
        <w:rPr>
          <w:rFonts w:eastAsia="Arial" w:cs="Arial"/>
          <w:sz w:val="24"/>
          <w:szCs w:val="24"/>
          <w14:cntxtAlts/>
        </w:rPr>
        <w:t>The Panel considered all the evidence provided by the applicant and the Regulatory Authority. This included:</w:t>
      </w:r>
    </w:p>
    <w:p w:rsidR="00461912" w:rsidRPr="00461912" w:rsidRDefault="00461912" w:rsidP="00461912">
      <w:pPr>
        <w:pStyle w:val="ListParagraph"/>
        <w:numPr>
          <w:ilvl w:val="1"/>
          <w:numId w:val="3"/>
        </w:numPr>
        <w:contextualSpacing w:val="0"/>
        <w:rPr>
          <w:rFonts w:cs="Arial"/>
          <w:sz w:val="24"/>
          <w:szCs w:val="24"/>
          <w14:cntxtAlts/>
        </w:rPr>
      </w:pPr>
      <w:r w:rsidRPr="00461912">
        <w:rPr>
          <w:rFonts w:cs="Arial"/>
          <w:sz w:val="24"/>
          <w:szCs w:val="24"/>
          <w14:cntxtAlts/>
        </w:rPr>
        <w:t>the application for second tier review and its attachments, including the service’s feedback on the draft assessment and rating report</w:t>
      </w:r>
    </w:p>
    <w:p w:rsidR="00461912" w:rsidRPr="00461912" w:rsidRDefault="00461912" w:rsidP="00461912">
      <w:pPr>
        <w:pStyle w:val="ListParagraph"/>
        <w:numPr>
          <w:ilvl w:val="1"/>
          <w:numId w:val="3"/>
        </w:numPr>
        <w:contextualSpacing w:val="0"/>
        <w:rPr>
          <w:rFonts w:cs="Arial"/>
          <w:sz w:val="24"/>
          <w:szCs w:val="24"/>
          <w14:cntxtAlts/>
        </w:rPr>
      </w:pPr>
      <w:r w:rsidRPr="00461912">
        <w:rPr>
          <w:rFonts w:cs="Arial"/>
          <w:sz w:val="24"/>
          <w:szCs w:val="24"/>
          <w14:cntxtAlts/>
        </w:rPr>
        <w:t>the assessment and rating instrument and final assessment and rating report</w:t>
      </w:r>
    </w:p>
    <w:p w:rsidR="00461912" w:rsidRPr="00461912" w:rsidRDefault="00461912" w:rsidP="00461912">
      <w:pPr>
        <w:pStyle w:val="ListParagraph"/>
        <w:numPr>
          <w:ilvl w:val="1"/>
          <w:numId w:val="3"/>
        </w:numPr>
        <w:contextualSpacing w:val="0"/>
        <w:rPr>
          <w:rFonts w:cs="Arial"/>
          <w:sz w:val="24"/>
          <w:szCs w:val="24"/>
          <w14:cntxtAlts/>
        </w:rPr>
      </w:pPr>
      <w:r w:rsidRPr="00461912">
        <w:rPr>
          <w:rFonts w:cs="Arial"/>
          <w:sz w:val="24"/>
          <w:szCs w:val="24"/>
          <w14:cntxtAlts/>
        </w:rPr>
        <w:t>the NSW Regulatory Authority’s findings on first tier review</w:t>
      </w:r>
    </w:p>
    <w:p w:rsidR="00461912" w:rsidRPr="00461912" w:rsidRDefault="00461912" w:rsidP="00461912">
      <w:pPr>
        <w:pStyle w:val="ListParagraph"/>
        <w:numPr>
          <w:ilvl w:val="1"/>
          <w:numId w:val="3"/>
        </w:numPr>
        <w:contextualSpacing w:val="0"/>
        <w:rPr>
          <w:rFonts w:cs="Arial"/>
          <w:sz w:val="24"/>
          <w:szCs w:val="24"/>
          <w14:cntxtAlts/>
        </w:rPr>
      </w:pPr>
      <w:r w:rsidRPr="00461912">
        <w:rPr>
          <w:rFonts w:cs="Arial"/>
          <w:sz w:val="24"/>
          <w:szCs w:val="24"/>
          <w14:cntxtAlts/>
        </w:rPr>
        <w:t>the response from the approved provider to the Regulatory Authority’s information</w:t>
      </w:r>
    </w:p>
    <w:p w:rsidR="00461912" w:rsidRPr="00461912" w:rsidRDefault="00461912" w:rsidP="00461912">
      <w:pPr>
        <w:pStyle w:val="ListParagraph"/>
        <w:numPr>
          <w:ilvl w:val="1"/>
          <w:numId w:val="3"/>
        </w:numPr>
        <w:contextualSpacing w:val="0"/>
        <w:rPr>
          <w:rFonts w:cs="Arial"/>
          <w:sz w:val="24"/>
          <w:szCs w:val="24"/>
          <w14:cntxtAlts/>
        </w:rPr>
      </w:pPr>
      <w:r w:rsidRPr="00461912">
        <w:rPr>
          <w:rFonts w:cs="Arial"/>
          <w:sz w:val="24"/>
          <w:szCs w:val="24"/>
          <w14:cntxtAlts/>
        </w:rPr>
        <w:t>additional evidence from the provider in the form of photographs and copies of service policies, minutes and program documentation</w:t>
      </w:r>
    </w:p>
    <w:p w:rsidR="00461912" w:rsidRPr="00461912" w:rsidRDefault="00461912" w:rsidP="00461912">
      <w:pPr>
        <w:pStyle w:val="ListParagraph"/>
        <w:numPr>
          <w:ilvl w:val="1"/>
          <w:numId w:val="3"/>
        </w:numPr>
        <w:contextualSpacing w:val="0"/>
        <w:rPr>
          <w:rFonts w:cs="Arial"/>
          <w:sz w:val="24"/>
          <w:szCs w:val="24"/>
          <w14:cntxtAlts/>
        </w:rPr>
      </w:pPr>
      <w:proofErr w:type="gramStart"/>
      <w:r w:rsidRPr="00461912">
        <w:rPr>
          <w:rFonts w:cs="Arial"/>
          <w:sz w:val="24"/>
          <w:szCs w:val="24"/>
          <w14:cntxtAlts/>
        </w:rPr>
        <w:t>findings</w:t>
      </w:r>
      <w:proofErr w:type="gramEnd"/>
      <w:r w:rsidRPr="00461912">
        <w:rPr>
          <w:rFonts w:cs="Arial"/>
          <w:sz w:val="24"/>
          <w:szCs w:val="24"/>
          <w14:cntxtAlts/>
        </w:rPr>
        <w:t xml:space="preserve"> from Ratings Review Panel 2/2013 (STR0002).</w:t>
      </w:r>
    </w:p>
    <w:p w:rsidR="00D6330D" w:rsidRPr="00461912" w:rsidRDefault="00461912" w:rsidP="00461912">
      <w:pPr>
        <w:pStyle w:val="ListParagraph"/>
        <w:numPr>
          <w:ilvl w:val="0"/>
          <w:numId w:val="6"/>
        </w:numPr>
        <w:ind w:left="426" w:hanging="426"/>
        <w:contextualSpacing w:val="0"/>
        <w:rPr>
          <w:rFonts w:cs="Arial"/>
          <w:sz w:val="24"/>
          <w:szCs w:val="24"/>
        </w:rPr>
      </w:pPr>
      <w:r w:rsidRPr="00461912">
        <w:rPr>
          <w:rFonts w:eastAsia="Arial" w:cs="Arial"/>
          <w:sz w:val="24"/>
          <w:szCs w:val="24"/>
          <w14:cntxtAlts/>
        </w:rPr>
        <w:lastRenderedPageBreak/>
        <w:t>The panel was also provided with advice from ACECQA on the elements, standards and quality areas under review</w:t>
      </w:r>
      <w:r w:rsidR="00D6330D" w:rsidRPr="00461912">
        <w:rPr>
          <w:rFonts w:cs="Arial"/>
          <w:sz w:val="24"/>
          <w:szCs w:val="24"/>
        </w:rPr>
        <w:t>.</w:t>
      </w:r>
    </w:p>
    <w:p w:rsidR="00D6330D" w:rsidRPr="00461912" w:rsidRDefault="00D6330D" w:rsidP="00D6330D">
      <w:pPr>
        <w:rPr>
          <w:rFonts w:cs="Arial"/>
          <w:b/>
          <w:sz w:val="24"/>
          <w:szCs w:val="24"/>
        </w:rPr>
      </w:pPr>
      <w:r w:rsidRPr="00461912">
        <w:rPr>
          <w:rFonts w:cs="Arial"/>
          <w:b/>
          <w:sz w:val="24"/>
          <w:szCs w:val="24"/>
        </w:rPr>
        <w:t>The law</w:t>
      </w:r>
    </w:p>
    <w:p w:rsidR="00D6330D" w:rsidRPr="00461912" w:rsidRDefault="00D6330D" w:rsidP="00461912">
      <w:pPr>
        <w:pStyle w:val="ListParagraph"/>
        <w:numPr>
          <w:ilvl w:val="0"/>
          <w:numId w:val="6"/>
        </w:numPr>
        <w:ind w:left="426" w:hanging="426"/>
        <w:contextualSpacing w:val="0"/>
        <w:rPr>
          <w:rFonts w:cs="Arial"/>
          <w:sz w:val="24"/>
          <w:szCs w:val="24"/>
        </w:rPr>
      </w:pPr>
      <w:r w:rsidRPr="00461912">
        <w:rPr>
          <w:rFonts w:cs="Arial"/>
          <w:sz w:val="24"/>
          <w:szCs w:val="24"/>
        </w:rPr>
        <w:t>Section 151 states ‘Following a review, the Ratings Review Panel may:</w:t>
      </w:r>
    </w:p>
    <w:p w:rsidR="00D6330D" w:rsidRPr="00461912" w:rsidRDefault="00D6330D" w:rsidP="00D6330D">
      <w:pPr>
        <w:pStyle w:val="ListParagraph"/>
        <w:numPr>
          <w:ilvl w:val="3"/>
          <w:numId w:val="1"/>
        </w:numPr>
        <w:spacing w:before="41" w:after="0"/>
        <w:ind w:left="1843" w:right="-20" w:hanging="709"/>
        <w:contextualSpacing w:val="0"/>
        <w:rPr>
          <w:rFonts w:cs="Arial"/>
          <w:sz w:val="24"/>
          <w:szCs w:val="24"/>
        </w:rPr>
      </w:pPr>
      <w:r w:rsidRPr="00461912">
        <w:rPr>
          <w:rFonts w:cs="Arial"/>
          <w:sz w:val="24"/>
          <w:szCs w:val="24"/>
        </w:rPr>
        <w:t>confirm the rating levels determined by the regulatory authority; or</w:t>
      </w:r>
    </w:p>
    <w:p w:rsidR="00D6330D" w:rsidRPr="00461912" w:rsidRDefault="00D6330D" w:rsidP="00D6330D">
      <w:pPr>
        <w:pStyle w:val="ListParagraph"/>
        <w:numPr>
          <w:ilvl w:val="3"/>
          <w:numId w:val="1"/>
        </w:numPr>
        <w:spacing w:before="41" w:after="0"/>
        <w:ind w:left="1843" w:right="-20" w:hanging="709"/>
        <w:contextualSpacing w:val="0"/>
        <w:rPr>
          <w:rFonts w:cs="Arial"/>
          <w:sz w:val="24"/>
          <w:szCs w:val="24"/>
        </w:rPr>
      </w:pPr>
      <w:proofErr w:type="gramStart"/>
      <w:r w:rsidRPr="00461912">
        <w:rPr>
          <w:rFonts w:cs="Arial"/>
          <w:sz w:val="24"/>
          <w:szCs w:val="24"/>
        </w:rPr>
        <w:t>amend</w:t>
      </w:r>
      <w:proofErr w:type="gramEnd"/>
      <w:r w:rsidRPr="00461912">
        <w:rPr>
          <w:rFonts w:cs="Arial"/>
          <w:sz w:val="24"/>
          <w:szCs w:val="24"/>
        </w:rPr>
        <w:t xml:space="preserve"> the rating levels’.</w:t>
      </w:r>
    </w:p>
    <w:p w:rsidR="00D6330D" w:rsidRPr="00461912" w:rsidRDefault="00D6330D" w:rsidP="00461912">
      <w:pPr>
        <w:pStyle w:val="ListParagraph"/>
        <w:numPr>
          <w:ilvl w:val="0"/>
          <w:numId w:val="6"/>
        </w:numPr>
        <w:ind w:left="426" w:hanging="426"/>
        <w:contextualSpacing w:val="0"/>
        <w:rPr>
          <w:rFonts w:cs="Arial"/>
          <w:sz w:val="24"/>
          <w:szCs w:val="24"/>
        </w:rPr>
      </w:pPr>
      <w:r w:rsidRPr="00461912">
        <w:rPr>
          <w:rFonts w:cs="Arial"/>
          <w:sz w:val="24"/>
          <w:szCs w:val="24"/>
        </w:rPr>
        <w:t xml:space="preserve">Information on the application of the National Quality Standard is available in the </w:t>
      </w:r>
      <w:r w:rsidRPr="00461912">
        <w:rPr>
          <w:rFonts w:cs="Arial"/>
          <w:i/>
          <w:sz w:val="24"/>
          <w:szCs w:val="24"/>
        </w:rPr>
        <w:t>Guide to the National Law and Regulations</w:t>
      </w:r>
      <w:r w:rsidRPr="00461912">
        <w:rPr>
          <w:rFonts w:cs="Arial"/>
          <w:sz w:val="24"/>
          <w:szCs w:val="24"/>
        </w:rPr>
        <w:t xml:space="preserve"> and the </w:t>
      </w:r>
      <w:r w:rsidRPr="00461912">
        <w:rPr>
          <w:rFonts w:cs="Arial"/>
          <w:i/>
          <w:sz w:val="24"/>
          <w:szCs w:val="24"/>
        </w:rPr>
        <w:t>Guide to the National Quality Standard</w:t>
      </w:r>
      <w:r w:rsidRPr="00461912">
        <w:rPr>
          <w:rFonts w:cs="Arial"/>
          <w:sz w:val="24"/>
          <w:szCs w:val="24"/>
        </w:rPr>
        <w:t xml:space="preserve"> </w:t>
      </w:r>
      <w:r w:rsidR="00AC611A" w:rsidRPr="00461912">
        <w:rPr>
          <w:rFonts w:cs="Arial"/>
          <w:sz w:val="24"/>
          <w:szCs w:val="24"/>
        </w:rPr>
        <w:t>published</w:t>
      </w:r>
      <w:r w:rsidRPr="00461912">
        <w:rPr>
          <w:rFonts w:cs="Arial"/>
          <w:sz w:val="24"/>
          <w:szCs w:val="24"/>
        </w:rPr>
        <w:t xml:space="preserve"> on ACECQA’s website.</w:t>
      </w:r>
    </w:p>
    <w:p w:rsidR="00D6330D" w:rsidRPr="00461912" w:rsidRDefault="00D6330D" w:rsidP="00D6330D">
      <w:pPr>
        <w:spacing w:before="240"/>
        <w:rPr>
          <w:rFonts w:cs="Arial"/>
          <w:b/>
          <w:sz w:val="24"/>
          <w:szCs w:val="24"/>
        </w:rPr>
      </w:pPr>
      <w:r w:rsidRPr="00461912">
        <w:rPr>
          <w:rFonts w:cs="Arial"/>
          <w:b/>
          <w:sz w:val="24"/>
          <w:szCs w:val="24"/>
        </w:rPr>
        <w:t>The facts</w:t>
      </w:r>
    </w:p>
    <w:p w:rsidR="00461912" w:rsidRPr="00461912" w:rsidRDefault="00461912" w:rsidP="00461912">
      <w:pPr>
        <w:pStyle w:val="ListParagraph"/>
        <w:numPr>
          <w:ilvl w:val="0"/>
          <w:numId w:val="6"/>
        </w:numPr>
        <w:autoSpaceDE w:val="0"/>
        <w:autoSpaceDN w:val="0"/>
        <w:adjustRightInd w:val="0"/>
        <w:spacing w:line="288" w:lineRule="auto"/>
        <w:ind w:left="426" w:hanging="426"/>
        <w:contextualSpacing w:val="0"/>
        <w:rPr>
          <w:rFonts w:cs="Arial"/>
          <w:color w:val="000000"/>
          <w:sz w:val="24"/>
          <w:szCs w:val="24"/>
        </w:rPr>
      </w:pPr>
      <w:r w:rsidRPr="00461912">
        <w:rPr>
          <w:rFonts w:cs="Arial"/>
          <w:color w:val="000000"/>
          <w:sz w:val="24"/>
          <w:szCs w:val="24"/>
        </w:rPr>
        <w:t xml:space="preserve">The assessment and rating visit took place on 20 February 2013. </w:t>
      </w:r>
    </w:p>
    <w:p w:rsidR="00461912" w:rsidRPr="00461912" w:rsidRDefault="00461912" w:rsidP="00461912">
      <w:pPr>
        <w:pStyle w:val="ListParagraph"/>
        <w:numPr>
          <w:ilvl w:val="0"/>
          <w:numId w:val="6"/>
        </w:numPr>
        <w:autoSpaceDE w:val="0"/>
        <w:autoSpaceDN w:val="0"/>
        <w:adjustRightInd w:val="0"/>
        <w:spacing w:before="240" w:line="288" w:lineRule="auto"/>
        <w:ind w:left="426" w:hanging="426"/>
        <w:contextualSpacing w:val="0"/>
        <w:rPr>
          <w:rFonts w:cs="Arial"/>
          <w:color w:val="000000"/>
          <w:sz w:val="24"/>
          <w:szCs w:val="24"/>
        </w:rPr>
      </w:pPr>
      <w:r w:rsidRPr="00461912">
        <w:rPr>
          <w:rFonts w:cs="Arial"/>
          <w:color w:val="000000"/>
          <w:sz w:val="24"/>
          <w:szCs w:val="24"/>
        </w:rPr>
        <w:t xml:space="preserve">The approved provider received the assessment and rating decision on 16 April 2013. </w:t>
      </w:r>
    </w:p>
    <w:p w:rsidR="00461912" w:rsidRPr="00461912" w:rsidRDefault="00461912" w:rsidP="00461912">
      <w:pPr>
        <w:pStyle w:val="ListParagraph"/>
        <w:numPr>
          <w:ilvl w:val="0"/>
          <w:numId w:val="6"/>
        </w:numPr>
        <w:autoSpaceDE w:val="0"/>
        <w:autoSpaceDN w:val="0"/>
        <w:adjustRightInd w:val="0"/>
        <w:spacing w:before="240" w:line="288" w:lineRule="auto"/>
        <w:ind w:left="426" w:hanging="426"/>
        <w:contextualSpacing w:val="0"/>
        <w:rPr>
          <w:rFonts w:cs="Arial"/>
          <w:color w:val="000000"/>
          <w:sz w:val="24"/>
          <w:szCs w:val="24"/>
        </w:rPr>
      </w:pPr>
      <w:r w:rsidRPr="00461912">
        <w:rPr>
          <w:rFonts w:cs="Arial"/>
          <w:color w:val="000000"/>
          <w:sz w:val="24"/>
          <w:szCs w:val="24"/>
        </w:rPr>
        <w:t xml:space="preserve">The approved provider applied for first tier review on 30 April 2013. The </w:t>
      </w:r>
      <w:r w:rsidRPr="00461912">
        <w:rPr>
          <w:rFonts w:cs="Arial"/>
          <w:sz w:val="24"/>
          <w:szCs w:val="24"/>
        </w:rPr>
        <w:t>NSW Regulatory</w:t>
      </w:r>
      <w:r w:rsidRPr="00461912">
        <w:rPr>
          <w:rFonts w:cs="Arial"/>
          <w:color w:val="000000"/>
          <w:sz w:val="24"/>
          <w:szCs w:val="24"/>
        </w:rPr>
        <w:t xml:space="preserve"> Authority made a decision on the review on 21 June 2013. The provider received the decision on 24 June 2013. </w:t>
      </w:r>
    </w:p>
    <w:p w:rsidR="00461912" w:rsidRPr="00461912" w:rsidRDefault="00461912" w:rsidP="00461912">
      <w:pPr>
        <w:pStyle w:val="ListParagraph"/>
        <w:numPr>
          <w:ilvl w:val="0"/>
          <w:numId w:val="6"/>
        </w:numPr>
        <w:autoSpaceDE w:val="0"/>
        <w:autoSpaceDN w:val="0"/>
        <w:adjustRightInd w:val="0"/>
        <w:spacing w:before="240" w:line="288" w:lineRule="auto"/>
        <w:ind w:left="426" w:hanging="426"/>
        <w:contextualSpacing w:val="0"/>
        <w:rPr>
          <w:rFonts w:cs="Arial"/>
          <w:color w:val="000000"/>
          <w:sz w:val="24"/>
          <w:szCs w:val="24"/>
        </w:rPr>
      </w:pPr>
      <w:r w:rsidRPr="00461912">
        <w:rPr>
          <w:rFonts w:cs="Arial"/>
          <w:color w:val="000000"/>
          <w:sz w:val="24"/>
          <w:szCs w:val="24"/>
        </w:rPr>
        <w:t xml:space="preserve">The service is a centre-based Preschool/Kindergarten. </w:t>
      </w:r>
    </w:p>
    <w:p w:rsidR="00D6330D" w:rsidRPr="00461912" w:rsidRDefault="00D6330D" w:rsidP="00D6330D">
      <w:pPr>
        <w:keepNext/>
        <w:spacing w:before="240"/>
        <w:rPr>
          <w:rFonts w:cs="Arial"/>
          <w:b/>
          <w:sz w:val="24"/>
          <w:szCs w:val="24"/>
        </w:rPr>
      </w:pPr>
      <w:r w:rsidRPr="00461912">
        <w:rPr>
          <w:rFonts w:cs="Arial"/>
          <w:b/>
          <w:sz w:val="24"/>
          <w:szCs w:val="24"/>
        </w:rPr>
        <w:t>Review of rating levels</w:t>
      </w:r>
    </w:p>
    <w:p w:rsidR="00D6330D" w:rsidRPr="00461912" w:rsidRDefault="00D6330D" w:rsidP="00461912">
      <w:pPr>
        <w:pStyle w:val="ListParagraph"/>
        <w:numPr>
          <w:ilvl w:val="0"/>
          <w:numId w:val="6"/>
        </w:numPr>
        <w:autoSpaceDE w:val="0"/>
        <w:autoSpaceDN w:val="0"/>
        <w:adjustRightInd w:val="0"/>
        <w:spacing w:before="240" w:line="288" w:lineRule="auto"/>
        <w:ind w:left="426" w:hanging="426"/>
        <w:contextualSpacing w:val="0"/>
        <w:rPr>
          <w:rFonts w:cs="Arial"/>
          <w:sz w:val="24"/>
          <w:szCs w:val="24"/>
        </w:rPr>
      </w:pPr>
      <w:r w:rsidRPr="00461912">
        <w:rPr>
          <w:rFonts w:cs="Arial"/>
          <w:sz w:val="24"/>
          <w:szCs w:val="24"/>
        </w:rPr>
        <w:t xml:space="preserve">The Panel considered each standard and elements under review in turn. </w:t>
      </w:r>
    </w:p>
    <w:p w:rsidR="00461912" w:rsidRPr="00461912" w:rsidRDefault="00461912" w:rsidP="00461912">
      <w:pPr>
        <w:autoSpaceDE w:val="0"/>
        <w:autoSpaceDN w:val="0"/>
        <w:adjustRightInd w:val="0"/>
        <w:spacing w:before="240" w:line="288" w:lineRule="auto"/>
        <w:rPr>
          <w:rFonts w:cs="Arial"/>
          <w:b/>
          <w:bCs/>
          <w:color w:val="000000"/>
          <w:sz w:val="24"/>
          <w:szCs w:val="24"/>
        </w:rPr>
      </w:pPr>
      <w:r w:rsidRPr="00461912">
        <w:rPr>
          <w:rFonts w:cs="Arial"/>
          <w:b/>
          <w:bCs/>
          <w:color w:val="000000"/>
          <w:sz w:val="24"/>
          <w:szCs w:val="24"/>
        </w:rPr>
        <w:t>Standard 2.2</w:t>
      </w:r>
    </w:p>
    <w:p w:rsidR="00461912" w:rsidRPr="00461912" w:rsidRDefault="00461912" w:rsidP="00461912">
      <w:pPr>
        <w:pStyle w:val="ListParagraph"/>
        <w:numPr>
          <w:ilvl w:val="0"/>
          <w:numId w:val="6"/>
        </w:numPr>
        <w:ind w:left="426" w:hanging="426"/>
        <w:contextualSpacing w:val="0"/>
        <w:rPr>
          <w:rFonts w:cs="Arial"/>
          <w:kern w:val="1"/>
          <w:sz w:val="24"/>
          <w:szCs w:val="24"/>
        </w:rPr>
      </w:pPr>
      <w:r w:rsidRPr="00461912">
        <w:rPr>
          <w:rFonts w:cs="Arial"/>
          <w:kern w:val="1"/>
          <w:sz w:val="24"/>
          <w:szCs w:val="24"/>
        </w:rPr>
        <w:t>Standard 2.2 is that:</w:t>
      </w:r>
    </w:p>
    <w:p w:rsidR="00461912" w:rsidRPr="00461912" w:rsidRDefault="00461912" w:rsidP="00461912">
      <w:pPr>
        <w:spacing w:line="288" w:lineRule="auto"/>
        <w:ind w:left="709"/>
        <w:rPr>
          <w:rFonts w:cs="Arial"/>
          <w:kern w:val="1"/>
          <w:sz w:val="24"/>
          <w:szCs w:val="24"/>
        </w:rPr>
      </w:pPr>
      <w:r w:rsidRPr="00461912">
        <w:rPr>
          <w:rFonts w:cs="Arial"/>
          <w:kern w:val="1"/>
          <w:sz w:val="24"/>
          <w:szCs w:val="24"/>
        </w:rPr>
        <w:t>‘Healthy eating and physical activity are embedded in the program for children’.</w:t>
      </w:r>
    </w:p>
    <w:p w:rsidR="00461912" w:rsidRPr="00461912" w:rsidRDefault="00461912" w:rsidP="00461912">
      <w:pPr>
        <w:pStyle w:val="ListParagraph"/>
        <w:numPr>
          <w:ilvl w:val="0"/>
          <w:numId w:val="6"/>
        </w:numPr>
        <w:ind w:left="426" w:hanging="426"/>
        <w:contextualSpacing w:val="0"/>
        <w:rPr>
          <w:rFonts w:cs="Arial"/>
          <w:color w:val="000000"/>
          <w:sz w:val="24"/>
          <w:szCs w:val="24"/>
        </w:rPr>
      </w:pPr>
      <w:r w:rsidRPr="00461912">
        <w:rPr>
          <w:rFonts w:cs="Arial"/>
          <w:kern w:val="1"/>
          <w:sz w:val="24"/>
          <w:szCs w:val="24"/>
        </w:rPr>
        <w:t>This standard is made up of two</w:t>
      </w:r>
      <w:r w:rsidRPr="00461912">
        <w:rPr>
          <w:rFonts w:cs="Arial"/>
          <w:sz w:val="24"/>
          <w:szCs w:val="24"/>
        </w:rPr>
        <w:t xml:space="preserve"> elements, </w:t>
      </w:r>
      <w:r w:rsidRPr="00461912">
        <w:rPr>
          <w:rFonts w:cs="Arial"/>
          <w:kern w:val="1"/>
          <w:sz w:val="24"/>
          <w:szCs w:val="24"/>
        </w:rPr>
        <w:t>one of which was under review.</w:t>
      </w:r>
    </w:p>
    <w:p w:rsidR="00461912" w:rsidRPr="00461912" w:rsidRDefault="00461912" w:rsidP="00461912">
      <w:pPr>
        <w:autoSpaceDE w:val="0"/>
        <w:autoSpaceDN w:val="0"/>
        <w:adjustRightInd w:val="0"/>
        <w:spacing w:before="240" w:line="288" w:lineRule="auto"/>
        <w:rPr>
          <w:rFonts w:cs="Arial"/>
          <w:i/>
          <w:color w:val="000000"/>
          <w:sz w:val="24"/>
          <w:szCs w:val="24"/>
        </w:rPr>
      </w:pPr>
      <w:r w:rsidRPr="00461912">
        <w:rPr>
          <w:rFonts w:cs="Arial"/>
          <w:bCs/>
          <w:i/>
          <w:color w:val="000000"/>
          <w:sz w:val="24"/>
          <w:szCs w:val="24"/>
        </w:rPr>
        <w:t xml:space="preserve">Element 2.2.2 </w:t>
      </w:r>
    </w:p>
    <w:p w:rsidR="00461912" w:rsidRPr="00461912" w:rsidRDefault="00461912" w:rsidP="00461912">
      <w:pPr>
        <w:pStyle w:val="ListParagraph"/>
        <w:numPr>
          <w:ilvl w:val="0"/>
          <w:numId w:val="6"/>
        </w:numPr>
        <w:ind w:left="426" w:hanging="426"/>
        <w:contextualSpacing w:val="0"/>
        <w:rPr>
          <w:rFonts w:cs="Arial"/>
          <w:kern w:val="1"/>
          <w:sz w:val="24"/>
          <w:szCs w:val="24"/>
        </w:rPr>
      </w:pPr>
      <w:r w:rsidRPr="00461912">
        <w:rPr>
          <w:rFonts w:cs="Arial"/>
          <w:kern w:val="1"/>
          <w:sz w:val="24"/>
          <w:szCs w:val="24"/>
        </w:rPr>
        <w:t>Element 2.2.2 requires:</w:t>
      </w:r>
    </w:p>
    <w:p w:rsidR="00461912" w:rsidRPr="00461912" w:rsidRDefault="00461912" w:rsidP="00461912">
      <w:pPr>
        <w:spacing w:line="288" w:lineRule="auto"/>
        <w:ind w:left="709"/>
        <w:rPr>
          <w:rFonts w:cs="Arial"/>
          <w:kern w:val="1"/>
          <w:sz w:val="24"/>
          <w:szCs w:val="24"/>
        </w:rPr>
      </w:pPr>
      <w:r w:rsidRPr="00461912">
        <w:rPr>
          <w:rFonts w:cs="Arial"/>
          <w:kern w:val="1"/>
          <w:sz w:val="24"/>
          <w:szCs w:val="24"/>
        </w:rPr>
        <w:t>‘Physical activity is promoted through planned and spontaneous experiences and is appropriate for each child’.</w:t>
      </w:r>
    </w:p>
    <w:p w:rsidR="00900970" w:rsidRDefault="00461912" w:rsidP="00461912">
      <w:pPr>
        <w:pStyle w:val="ListParagraph"/>
        <w:numPr>
          <w:ilvl w:val="0"/>
          <w:numId w:val="6"/>
        </w:numPr>
        <w:ind w:left="426" w:hanging="426"/>
        <w:contextualSpacing w:val="0"/>
        <w:rPr>
          <w:rFonts w:cs="Arial"/>
          <w:sz w:val="24"/>
          <w:szCs w:val="24"/>
        </w:rPr>
      </w:pPr>
      <w:r w:rsidRPr="00461912">
        <w:rPr>
          <w:rFonts w:cs="Arial"/>
          <w:sz w:val="24"/>
          <w:szCs w:val="24"/>
        </w:rPr>
        <w:t xml:space="preserve">In its application for second tier review, the approved provider wrote that the authorised officer only gathered evidence of some activities that were provided to children on the day of the assessment and rating visit and failed to note the significance of the way the environment was set up. </w:t>
      </w:r>
    </w:p>
    <w:p w:rsidR="00461912" w:rsidRPr="00461912" w:rsidRDefault="00461912" w:rsidP="00461912">
      <w:pPr>
        <w:pStyle w:val="ListParagraph"/>
        <w:numPr>
          <w:ilvl w:val="0"/>
          <w:numId w:val="6"/>
        </w:numPr>
        <w:ind w:left="426" w:hanging="426"/>
        <w:contextualSpacing w:val="0"/>
        <w:rPr>
          <w:rFonts w:cs="Arial"/>
          <w:sz w:val="24"/>
          <w:szCs w:val="24"/>
        </w:rPr>
      </w:pPr>
      <w:r w:rsidRPr="00461912">
        <w:rPr>
          <w:rFonts w:cs="Arial"/>
          <w:sz w:val="24"/>
          <w:szCs w:val="24"/>
        </w:rPr>
        <w:lastRenderedPageBreak/>
        <w:t xml:space="preserve">The provider also wrote that the officer failed to seek additional evidence that would have informed the rating decision by not questioning educators or viewing available documentation. </w:t>
      </w:r>
    </w:p>
    <w:p w:rsidR="00461912" w:rsidRPr="00461912" w:rsidRDefault="00461912" w:rsidP="00137F4D">
      <w:pPr>
        <w:pStyle w:val="ListParagraph"/>
        <w:numPr>
          <w:ilvl w:val="0"/>
          <w:numId w:val="6"/>
        </w:numPr>
        <w:ind w:left="426" w:hanging="426"/>
        <w:contextualSpacing w:val="0"/>
        <w:rPr>
          <w:rFonts w:cs="Arial"/>
          <w:sz w:val="24"/>
          <w:szCs w:val="24"/>
        </w:rPr>
      </w:pPr>
      <w:r w:rsidRPr="00461912">
        <w:rPr>
          <w:rFonts w:cs="Arial"/>
          <w:sz w:val="24"/>
          <w:szCs w:val="24"/>
        </w:rPr>
        <w:t xml:space="preserve">The Panel agreed that the service has a large outdoor area set up for an all-day indoor/outdoor program, where children are able to engage in physical activity appropriate to their abilities and preferences. </w:t>
      </w:r>
    </w:p>
    <w:p w:rsidR="00461912" w:rsidRPr="00461912" w:rsidRDefault="00461912" w:rsidP="00137F4D">
      <w:pPr>
        <w:pStyle w:val="ListParagraph"/>
        <w:numPr>
          <w:ilvl w:val="0"/>
          <w:numId w:val="6"/>
        </w:numPr>
        <w:ind w:left="426" w:hanging="426"/>
        <w:contextualSpacing w:val="0"/>
        <w:rPr>
          <w:rFonts w:cs="Arial"/>
          <w:sz w:val="24"/>
          <w:szCs w:val="24"/>
        </w:rPr>
      </w:pPr>
      <w:r w:rsidRPr="00461912">
        <w:rPr>
          <w:rFonts w:cs="Arial"/>
          <w:sz w:val="24"/>
          <w:szCs w:val="24"/>
        </w:rPr>
        <w:t xml:space="preserve">The Panel noted that the evidence used to rate element 2.2.2 as ‘not met’, differs between the assessment and rating report and the first tier review decision notice. Specifically, that the original decision seemed to rely on the statement that music group sessions are conducted in limited space for movement, while the first tier review decision document cites limited evidence of planned physical activity as the basis for the rating. </w:t>
      </w:r>
    </w:p>
    <w:p w:rsidR="00461912" w:rsidRPr="00461912" w:rsidRDefault="00461912" w:rsidP="00137F4D">
      <w:pPr>
        <w:pStyle w:val="ListParagraph"/>
        <w:numPr>
          <w:ilvl w:val="0"/>
          <w:numId w:val="6"/>
        </w:numPr>
        <w:ind w:left="426" w:hanging="426"/>
        <w:contextualSpacing w:val="0"/>
        <w:rPr>
          <w:rFonts w:cs="Arial"/>
          <w:sz w:val="24"/>
          <w:szCs w:val="24"/>
        </w:rPr>
      </w:pPr>
      <w:r w:rsidRPr="00461912">
        <w:rPr>
          <w:rFonts w:cs="Arial"/>
          <w:sz w:val="24"/>
          <w:szCs w:val="24"/>
        </w:rPr>
        <w:t xml:space="preserve">The Panel discussed the meaning of ‘planning’ in this element and agreed that evidence of planning could be gathered through conversations with educators as well as reviewing program documentation. The Panel agreed that it is not reasonable to expect educators to document every planning decision they make during the day. </w:t>
      </w:r>
    </w:p>
    <w:p w:rsidR="00461912" w:rsidRPr="00461912" w:rsidRDefault="00461912" w:rsidP="00137F4D">
      <w:pPr>
        <w:pStyle w:val="ListParagraph"/>
        <w:numPr>
          <w:ilvl w:val="0"/>
          <w:numId w:val="6"/>
        </w:numPr>
        <w:ind w:left="426" w:hanging="426"/>
        <w:contextualSpacing w:val="0"/>
        <w:rPr>
          <w:rFonts w:cs="Arial"/>
          <w:sz w:val="24"/>
          <w:szCs w:val="24"/>
        </w:rPr>
      </w:pPr>
      <w:r w:rsidRPr="00461912">
        <w:rPr>
          <w:rFonts w:cs="Arial"/>
          <w:sz w:val="24"/>
          <w:szCs w:val="24"/>
        </w:rPr>
        <w:t>The Panel discussed that the activities the ser</w:t>
      </w:r>
      <w:r w:rsidR="00592C67">
        <w:rPr>
          <w:rFonts w:cs="Arial"/>
          <w:sz w:val="24"/>
          <w:szCs w:val="24"/>
        </w:rPr>
        <w:t>vice had provided for children</w:t>
      </w:r>
      <w:r w:rsidRPr="00461912">
        <w:rPr>
          <w:rFonts w:cs="Arial"/>
          <w:sz w:val="24"/>
          <w:szCs w:val="24"/>
        </w:rPr>
        <w:t xml:space="preserve"> would not happen without planning. The Panel agreed that planning that is documented is preferable, but it is not the only way for planning to be evident. </w:t>
      </w:r>
    </w:p>
    <w:p w:rsidR="00461912" w:rsidRPr="00461912" w:rsidRDefault="00461912" w:rsidP="00137F4D">
      <w:pPr>
        <w:pStyle w:val="ListParagraph"/>
        <w:numPr>
          <w:ilvl w:val="0"/>
          <w:numId w:val="6"/>
        </w:numPr>
        <w:ind w:left="426" w:hanging="426"/>
        <w:contextualSpacing w:val="0"/>
        <w:rPr>
          <w:rFonts w:cs="Arial"/>
          <w:sz w:val="24"/>
          <w:szCs w:val="24"/>
        </w:rPr>
      </w:pPr>
      <w:r w:rsidRPr="00461912">
        <w:rPr>
          <w:rFonts w:cs="Arial"/>
          <w:sz w:val="24"/>
          <w:szCs w:val="24"/>
        </w:rPr>
        <w:t xml:space="preserve">The Panel noted the additional evidence provided by the provider at second tier review and agreed that these examples of programming documentation are evidence of some planning for children’s physical activity.  </w:t>
      </w:r>
    </w:p>
    <w:p w:rsidR="00461912" w:rsidRPr="00461912" w:rsidRDefault="00461912" w:rsidP="00137F4D">
      <w:pPr>
        <w:pStyle w:val="ListParagraph"/>
        <w:numPr>
          <w:ilvl w:val="0"/>
          <w:numId w:val="6"/>
        </w:numPr>
        <w:ind w:left="426" w:hanging="426"/>
        <w:contextualSpacing w:val="0"/>
        <w:rPr>
          <w:rFonts w:cs="Arial"/>
          <w:sz w:val="24"/>
          <w:szCs w:val="24"/>
        </w:rPr>
      </w:pPr>
      <w:r w:rsidRPr="00461912">
        <w:rPr>
          <w:rFonts w:cs="Arial"/>
          <w:sz w:val="24"/>
          <w:szCs w:val="24"/>
        </w:rPr>
        <w:t>The Panel noted photographs included by the provider, taken in August 2013</w:t>
      </w:r>
      <w:r w:rsidR="00137F4D">
        <w:rPr>
          <w:rFonts w:cs="Arial"/>
          <w:sz w:val="24"/>
          <w:szCs w:val="24"/>
        </w:rPr>
        <w:t>,</w:t>
      </w:r>
      <w:r w:rsidRPr="00461912">
        <w:rPr>
          <w:rFonts w:cs="Arial"/>
          <w:sz w:val="24"/>
          <w:szCs w:val="24"/>
        </w:rPr>
        <w:t xml:space="preserve"> as examples of activities that would have been carried out on the day of the assessment and rating visit and to show the typical set up of the indoor and outdoor environments</w:t>
      </w:r>
      <w:r w:rsidR="00137F4D">
        <w:rPr>
          <w:rFonts w:cs="Arial"/>
          <w:sz w:val="24"/>
          <w:szCs w:val="24"/>
        </w:rPr>
        <w:t>. However, the Panel</w:t>
      </w:r>
      <w:r w:rsidRPr="00461912">
        <w:rPr>
          <w:rFonts w:cs="Arial"/>
          <w:sz w:val="24"/>
          <w:szCs w:val="24"/>
        </w:rPr>
        <w:t xml:space="preserve"> acknowledged that they could only take into account new information during a second tier review if it was related to the facts that existed at the time of the assessment and rating decision.</w:t>
      </w:r>
    </w:p>
    <w:p w:rsidR="00461912" w:rsidRPr="00461912" w:rsidRDefault="00461912" w:rsidP="00137F4D">
      <w:pPr>
        <w:pStyle w:val="ListParagraph"/>
        <w:numPr>
          <w:ilvl w:val="0"/>
          <w:numId w:val="6"/>
        </w:numPr>
        <w:ind w:left="426" w:hanging="426"/>
        <w:contextualSpacing w:val="0"/>
        <w:rPr>
          <w:rFonts w:cs="Arial"/>
          <w:sz w:val="24"/>
          <w:szCs w:val="24"/>
        </w:rPr>
      </w:pPr>
      <w:r w:rsidRPr="00461912">
        <w:rPr>
          <w:rFonts w:cs="Arial"/>
          <w:sz w:val="24"/>
          <w:szCs w:val="24"/>
        </w:rPr>
        <w:t xml:space="preserve">The Panel concluded that while there is sound evidence that physical activity is promoted with children generally, through planned and spontaneous experiences, and that there is evidence of planning for physical activity, there is insufficient evidence to be able to conclude that the planning is appropriate for </w:t>
      </w:r>
      <w:r w:rsidRPr="00461912">
        <w:rPr>
          <w:rFonts w:cs="Arial"/>
          <w:i/>
          <w:sz w:val="24"/>
          <w:szCs w:val="24"/>
        </w:rPr>
        <w:t>each child</w:t>
      </w:r>
      <w:r w:rsidRPr="00461912">
        <w:rPr>
          <w:rFonts w:cs="Arial"/>
          <w:sz w:val="24"/>
          <w:szCs w:val="24"/>
        </w:rPr>
        <w:t xml:space="preserve">. For this reason, the Panel confirmed that the element is assessed as ‘not met’. </w:t>
      </w:r>
    </w:p>
    <w:p w:rsidR="00461912" w:rsidRPr="00461912" w:rsidRDefault="00461912" w:rsidP="00461912">
      <w:pPr>
        <w:spacing w:before="240" w:after="0"/>
        <w:ind w:right="-23"/>
        <w:rPr>
          <w:rFonts w:eastAsia="Arial" w:cs="Arial"/>
          <w:sz w:val="24"/>
          <w:szCs w:val="24"/>
          <w14:cntxtAlts/>
        </w:rPr>
      </w:pPr>
      <w:r w:rsidRPr="00461912">
        <w:rPr>
          <w:rFonts w:eastAsia="Arial" w:cs="Arial"/>
          <w:b/>
          <w:bCs/>
          <w:sz w:val="24"/>
          <w:szCs w:val="24"/>
          <w14:cntxtAlts/>
        </w:rPr>
        <w:t>Standard 3.3</w:t>
      </w:r>
    </w:p>
    <w:p w:rsidR="00461912" w:rsidRPr="00461912" w:rsidRDefault="00461912" w:rsidP="00137F4D">
      <w:pPr>
        <w:pStyle w:val="ListParagraph"/>
        <w:numPr>
          <w:ilvl w:val="0"/>
          <w:numId w:val="6"/>
        </w:numPr>
        <w:ind w:left="426" w:hanging="426"/>
        <w:contextualSpacing w:val="0"/>
        <w:rPr>
          <w:rFonts w:eastAsia="Arial" w:cs="Arial"/>
          <w:i/>
          <w:sz w:val="24"/>
          <w:szCs w:val="24"/>
          <w14:cntxtAlts/>
        </w:rPr>
      </w:pPr>
      <w:r w:rsidRPr="00461912">
        <w:rPr>
          <w:rFonts w:eastAsia="Arial" w:cs="Arial"/>
          <w:sz w:val="24"/>
          <w:szCs w:val="24"/>
          <w14:cntxtAlts/>
        </w:rPr>
        <w:t xml:space="preserve">Standard 3.3 is that: </w:t>
      </w:r>
    </w:p>
    <w:p w:rsidR="00461912" w:rsidRPr="00461912" w:rsidRDefault="00137F4D" w:rsidP="00461912">
      <w:pPr>
        <w:spacing w:after="0"/>
        <w:ind w:left="720" w:right="-20"/>
        <w:rPr>
          <w:rFonts w:eastAsia="Arial" w:cs="Arial"/>
          <w:sz w:val="24"/>
          <w:szCs w:val="24"/>
          <w14:cntxtAlts/>
        </w:rPr>
      </w:pPr>
      <w:r>
        <w:rPr>
          <w:rFonts w:eastAsia="Arial" w:cs="Arial"/>
          <w:spacing w:val="2"/>
          <w:sz w:val="24"/>
          <w:szCs w:val="24"/>
        </w:rPr>
        <w:t>‘</w:t>
      </w:r>
      <w:r w:rsidR="00461912" w:rsidRPr="00461912">
        <w:rPr>
          <w:rFonts w:eastAsia="Arial" w:cs="Arial"/>
          <w:spacing w:val="2"/>
          <w:sz w:val="24"/>
          <w:szCs w:val="24"/>
        </w:rPr>
        <w:t>T</w:t>
      </w:r>
      <w:r w:rsidR="00461912" w:rsidRPr="00461912">
        <w:rPr>
          <w:rFonts w:eastAsia="Arial" w:cs="Arial"/>
          <w:spacing w:val="1"/>
          <w:sz w:val="24"/>
          <w:szCs w:val="24"/>
        </w:rPr>
        <w:t>h</w:t>
      </w:r>
      <w:r w:rsidR="00461912" w:rsidRPr="00461912">
        <w:rPr>
          <w:rFonts w:eastAsia="Arial" w:cs="Arial"/>
          <w:sz w:val="24"/>
          <w:szCs w:val="24"/>
        </w:rPr>
        <w:t>e</w:t>
      </w:r>
      <w:r w:rsidR="00461912" w:rsidRPr="00461912">
        <w:rPr>
          <w:rFonts w:eastAsia="Arial" w:cs="Arial"/>
          <w:spacing w:val="-1"/>
          <w:sz w:val="24"/>
          <w:szCs w:val="24"/>
        </w:rPr>
        <w:t xml:space="preserve"> </w:t>
      </w:r>
      <w:r w:rsidR="00461912" w:rsidRPr="00461912">
        <w:rPr>
          <w:rFonts w:eastAsia="Arial" w:cs="Arial"/>
          <w:sz w:val="24"/>
          <w:szCs w:val="24"/>
        </w:rPr>
        <w:t>s</w:t>
      </w:r>
      <w:r w:rsidR="00461912" w:rsidRPr="00461912">
        <w:rPr>
          <w:rFonts w:eastAsia="Arial" w:cs="Arial"/>
          <w:spacing w:val="1"/>
          <w:sz w:val="24"/>
          <w:szCs w:val="24"/>
        </w:rPr>
        <w:t>e</w:t>
      </w:r>
      <w:r w:rsidR="00461912" w:rsidRPr="00461912">
        <w:rPr>
          <w:rFonts w:eastAsia="Arial" w:cs="Arial"/>
          <w:sz w:val="24"/>
          <w:szCs w:val="24"/>
        </w:rPr>
        <w:t>r</w:t>
      </w:r>
      <w:r w:rsidR="00461912" w:rsidRPr="00461912">
        <w:rPr>
          <w:rFonts w:eastAsia="Arial" w:cs="Arial"/>
          <w:spacing w:val="-3"/>
          <w:sz w:val="24"/>
          <w:szCs w:val="24"/>
        </w:rPr>
        <w:t>v</w:t>
      </w:r>
      <w:r w:rsidR="00461912" w:rsidRPr="00461912">
        <w:rPr>
          <w:rFonts w:eastAsia="Arial" w:cs="Arial"/>
          <w:sz w:val="24"/>
          <w:szCs w:val="24"/>
        </w:rPr>
        <w:t>ice</w:t>
      </w:r>
      <w:r w:rsidR="00461912" w:rsidRPr="00461912">
        <w:rPr>
          <w:rFonts w:eastAsia="Arial" w:cs="Arial"/>
          <w:spacing w:val="1"/>
          <w:sz w:val="24"/>
          <w:szCs w:val="24"/>
        </w:rPr>
        <w:t xml:space="preserve"> </w:t>
      </w:r>
      <w:r w:rsidR="00461912" w:rsidRPr="00461912">
        <w:rPr>
          <w:rFonts w:eastAsia="Arial" w:cs="Arial"/>
          <w:sz w:val="24"/>
          <w:szCs w:val="24"/>
        </w:rPr>
        <w:t>t</w:t>
      </w:r>
      <w:r w:rsidR="00461912" w:rsidRPr="00461912">
        <w:rPr>
          <w:rFonts w:eastAsia="Arial" w:cs="Arial"/>
          <w:spacing w:val="1"/>
          <w:sz w:val="24"/>
          <w:szCs w:val="24"/>
        </w:rPr>
        <w:t>a</w:t>
      </w:r>
      <w:r w:rsidR="00461912" w:rsidRPr="00461912">
        <w:rPr>
          <w:rFonts w:eastAsia="Arial" w:cs="Arial"/>
          <w:sz w:val="24"/>
          <w:szCs w:val="24"/>
        </w:rPr>
        <w:t>k</w:t>
      </w:r>
      <w:r w:rsidR="00461912" w:rsidRPr="00461912">
        <w:rPr>
          <w:rFonts w:eastAsia="Arial" w:cs="Arial"/>
          <w:spacing w:val="1"/>
          <w:sz w:val="24"/>
          <w:szCs w:val="24"/>
        </w:rPr>
        <w:t>e</w:t>
      </w:r>
      <w:r w:rsidR="00461912" w:rsidRPr="00461912">
        <w:rPr>
          <w:rFonts w:eastAsia="Arial" w:cs="Arial"/>
          <w:sz w:val="24"/>
          <w:szCs w:val="24"/>
        </w:rPr>
        <w:t>s</w:t>
      </w:r>
      <w:r w:rsidR="00461912" w:rsidRPr="00461912">
        <w:rPr>
          <w:rFonts w:eastAsia="Arial" w:cs="Arial"/>
          <w:spacing w:val="-2"/>
          <w:sz w:val="24"/>
          <w:szCs w:val="24"/>
        </w:rPr>
        <w:t xml:space="preserve"> </w:t>
      </w:r>
      <w:r w:rsidR="00461912" w:rsidRPr="00461912">
        <w:rPr>
          <w:rFonts w:eastAsia="Arial" w:cs="Arial"/>
          <w:spacing w:val="1"/>
          <w:sz w:val="24"/>
          <w:szCs w:val="24"/>
        </w:rPr>
        <w:t>a</w:t>
      </w:r>
      <w:r w:rsidR="00461912" w:rsidRPr="00461912">
        <w:rPr>
          <w:rFonts w:eastAsia="Arial" w:cs="Arial"/>
          <w:sz w:val="24"/>
          <w:szCs w:val="24"/>
        </w:rPr>
        <w:t>n</w:t>
      </w:r>
      <w:r w:rsidR="00461912" w:rsidRPr="00461912">
        <w:rPr>
          <w:rFonts w:eastAsia="Arial" w:cs="Arial"/>
          <w:spacing w:val="-1"/>
          <w:sz w:val="24"/>
          <w:szCs w:val="24"/>
        </w:rPr>
        <w:t xml:space="preserve"> </w:t>
      </w:r>
      <w:r w:rsidR="00461912" w:rsidRPr="00461912">
        <w:rPr>
          <w:rFonts w:eastAsia="Arial" w:cs="Arial"/>
          <w:spacing w:val="1"/>
          <w:sz w:val="24"/>
          <w:szCs w:val="24"/>
        </w:rPr>
        <w:t>a</w:t>
      </w:r>
      <w:r w:rsidR="00461912" w:rsidRPr="00461912">
        <w:rPr>
          <w:rFonts w:eastAsia="Arial" w:cs="Arial"/>
          <w:sz w:val="24"/>
          <w:szCs w:val="24"/>
        </w:rPr>
        <w:t>cti</w:t>
      </w:r>
      <w:r w:rsidR="00461912" w:rsidRPr="00461912">
        <w:rPr>
          <w:rFonts w:eastAsia="Arial" w:cs="Arial"/>
          <w:spacing w:val="-2"/>
          <w:sz w:val="24"/>
          <w:szCs w:val="24"/>
        </w:rPr>
        <w:t>v</w:t>
      </w:r>
      <w:r w:rsidR="00461912" w:rsidRPr="00461912">
        <w:rPr>
          <w:rFonts w:eastAsia="Arial" w:cs="Arial"/>
          <w:sz w:val="24"/>
          <w:szCs w:val="24"/>
        </w:rPr>
        <w:t>e</w:t>
      </w:r>
      <w:r w:rsidR="00461912" w:rsidRPr="00461912">
        <w:rPr>
          <w:rFonts w:eastAsia="Arial" w:cs="Arial"/>
          <w:spacing w:val="1"/>
          <w:sz w:val="24"/>
          <w:szCs w:val="24"/>
        </w:rPr>
        <w:t xml:space="preserve"> </w:t>
      </w:r>
      <w:r w:rsidR="00461912" w:rsidRPr="00461912">
        <w:rPr>
          <w:rFonts w:eastAsia="Arial" w:cs="Arial"/>
          <w:sz w:val="24"/>
          <w:szCs w:val="24"/>
        </w:rPr>
        <w:t>role</w:t>
      </w:r>
      <w:r w:rsidR="00461912" w:rsidRPr="00461912">
        <w:rPr>
          <w:rFonts w:eastAsia="Arial" w:cs="Arial"/>
          <w:spacing w:val="5"/>
          <w:sz w:val="24"/>
          <w:szCs w:val="24"/>
        </w:rPr>
        <w:t xml:space="preserve"> </w:t>
      </w:r>
      <w:r w:rsidR="00461912" w:rsidRPr="00461912">
        <w:rPr>
          <w:rFonts w:eastAsia="Arial" w:cs="Arial"/>
          <w:sz w:val="24"/>
          <w:szCs w:val="24"/>
        </w:rPr>
        <w:t>in</w:t>
      </w:r>
      <w:r w:rsidR="00461912" w:rsidRPr="00461912">
        <w:rPr>
          <w:rFonts w:eastAsia="Arial" w:cs="Arial"/>
          <w:spacing w:val="1"/>
          <w:sz w:val="24"/>
          <w:szCs w:val="24"/>
        </w:rPr>
        <w:t xml:space="preserve"> </w:t>
      </w:r>
      <w:r w:rsidR="00461912" w:rsidRPr="00461912">
        <w:rPr>
          <w:rFonts w:eastAsia="Arial" w:cs="Arial"/>
          <w:sz w:val="24"/>
          <w:szCs w:val="24"/>
        </w:rPr>
        <w:t>c</w:t>
      </w:r>
      <w:r w:rsidR="00461912" w:rsidRPr="00461912">
        <w:rPr>
          <w:rFonts w:eastAsia="Arial" w:cs="Arial"/>
          <w:spacing w:val="1"/>
          <w:sz w:val="24"/>
          <w:szCs w:val="24"/>
        </w:rPr>
        <w:t>a</w:t>
      </w:r>
      <w:r w:rsidR="00461912" w:rsidRPr="00461912">
        <w:rPr>
          <w:rFonts w:eastAsia="Arial" w:cs="Arial"/>
          <w:sz w:val="24"/>
          <w:szCs w:val="24"/>
        </w:rPr>
        <w:t>r</w:t>
      </w:r>
      <w:r w:rsidR="00461912" w:rsidRPr="00461912">
        <w:rPr>
          <w:rFonts w:eastAsia="Arial" w:cs="Arial"/>
          <w:spacing w:val="-1"/>
          <w:sz w:val="24"/>
          <w:szCs w:val="24"/>
        </w:rPr>
        <w:t>i</w:t>
      </w:r>
      <w:r w:rsidR="00461912" w:rsidRPr="00461912">
        <w:rPr>
          <w:rFonts w:eastAsia="Arial" w:cs="Arial"/>
          <w:spacing w:val="1"/>
          <w:sz w:val="24"/>
          <w:szCs w:val="24"/>
        </w:rPr>
        <w:t>n</w:t>
      </w:r>
      <w:r w:rsidR="00461912" w:rsidRPr="00461912">
        <w:rPr>
          <w:rFonts w:eastAsia="Arial" w:cs="Arial"/>
          <w:sz w:val="24"/>
          <w:szCs w:val="24"/>
        </w:rPr>
        <w:t>g</w:t>
      </w:r>
      <w:r w:rsidR="00461912" w:rsidRPr="00461912">
        <w:rPr>
          <w:rFonts w:eastAsia="Arial" w:cs="Arial"/>
          <w:spacing w:val="-3"/>
          <w:sz w:val="24"/>
          <w:szCs w:val="24"/>
        </w:rPr>
        <w:t xml:space="preserve"> </w:t>
      </w:r>
      <w:r w:rsidR="00461912" w:rsidRPr="00461912">
        <w:rPr>
          <w:rFonts w:eastAsia="Arial" w:cs="Arial"/>
          <w:spacing w:val="3"/>
          <w:sz w:val="24"/>
          <w:szCs w:val="24"/>
        </w:rPr>
        <w:t>f</w:t>
      </w:r>
      <w:r w:rsidR="00461912" w:rsidRPr="00461912">
        <w:rPr>
          <w:rFonts w:eastAsia="Arial" w:cs="Arial"/>
          <w:spacing w:val="1"/>
          <w:sz w:val="24"/>
          <w:szCs w:val="24"/>
        </w:rPr>
        <w:t>o</w:t>
      </w:r>
      <w:r w:rsidR="00461912" w:rsidRPr="00461912">
        <w:rPr>
          <w:rFonts w:eastAsia="Arial" w:cs="Arial"/>
          <w:sz w:val="24"/>
          <w:szCs w:val="24"/>
        </w:rPr>
        <w:t>r</w:t>
      </w:r>
      <w:r w:rsidR="00461912" w:rsidRPr="00461912">
        <w:rPr>
          <w:rFonts w:eastAsia="Arial" w:cs="Arial"/>
          <w:spacing w:val="-3"/>
          <w:sz w:val="24"/>
          <w:szCs w:val="24"/>
        </w:rPr>
        <w:t xml:space="preserve"> </w:t>
      </w:r>
      <w:r w:rsidR="00461912" w:rsidRPr="00461912">
        <w:rPr>
          <w:rFonts w:eastAsia="Arial" w:cs="Arial"/>
          <w:sz w:val="24"/>
          <w:szCs w:val="24"/>
        </w:rPr>
        <w:t>its</w:t>
      </w:r>
      <w:r w:rsidR="00461912" w:rsidRPr="00461912">
        <w:rPr>
          <w:rFonts w:eastAsia="Arial" w:cs="Arial"/>
          <w:spacing w:val="1"/>
          <w:sz w:val="24"/>
          <w:szCs w:val="24"/>
        </w:rPr>
        <w:t xml:space="preserve"> en</w:t>
      </w:r>
      <w:r w:rsidR="00461912" w:rsidRPr="00461912">
        <w:rPr>
          <w:rFonts w:eastAsia="Arial" w:cs="Arial"/>
          <w:spacing w:val="-2"/>
          <w:sz w:val="24"/>
          <w:szCs w:val="24"/>
        </w:rPr>
        <w:t>v</w:t>
      </w:r>
      <w:r w:rsidR="00461912" w:rsidRPr="00461912">
        <w:rPr>
          <w:rFonts w:eastAsia="Arial" w:cs="Arial"/>
          <w:sz w:val="24"/>
          <w:szCs w:val="24"/>
        </w:rPr>
        <w:t>i</w:t>
      </w:r>
      <w:r w:rsidR="00461912" w:rsidRPr="00461912">
        <w:rPr>
          <w:rFonts w:eastAsia="Arial" w:cs="Arial"/>
          <w:spacing w:val="-1"/>
          <w:sz w:val="24"/>
          <w:szCs w:val="24"/>
        </w:rPr>
        <w:t>r</w:t>
      </w:r>
      <w:r w:rsidR="00461912" w:rsidRPr="00461912">
        <w:rPr>
          <w:rFonts w:eastAsia="Arial" w:cs="Arial"/>
          <w:spacing w:val="1"/>
          <w:sz w:val="24"/>
          <w:szCs w:val="24"/>
        </w:rPr>
        <w:t>onm</w:t>
      </w:r>
      <w:r w:rsidR="00461912" w:rsidRPr="00461912">
        <w:rPr>
          <w:rFonts w:eastAsia="Arial" w:cs="Arial"/>
          <w:spacing w:val="-1"/>
          <w:sz w:val="24"/>
          <w:szCs w:val="24"/>
        </w:rPr>
        <w:t>e</w:t>
      </w:r>
      <w:r w:rsidR="00461912" w:rsidRPr="00461912">
        <w:rPr>
          <w:rFonts w:eastAsia="Arial" w:cs="Arial"/>
          <w:spacing w:val="1"/>
          <w:sz w:val="24"/>
          <w:szCs w:val="24"/>
        </w:rPr>
        <w:t>n</w:t>
      </w:r>
      <w:r w:rsidR="00461912" w:rsidRPr="00461912">
        <w:rPr>
          <w:rFonts w:eastAsia="Arial" w:cs="Arial"/>
          <w:sz w:val="24"/>
          <w:szCs w:val="24"/>
        </w:rPr>
        <w:t>t</w:t>
      </w:r>
      <w:r w:rsidR="00461912" w:rsidRPr="00461912">
        <w:rPr>
          <w:rFonts w:eastAsia="Arial" w:cs="Arial"/>
          <w:spacing w:val="-1"/>
          <w:sz w:val="24"/>
          <w:szCs w:val="24"/>
        </w:rPr>
        <w:t xml:space="preserve"> </w:t>
      </w:r>
      <w:r w:rsidR="00461912" w:rsidRPr="00461912">
        <w:rPr>
          <w:rFonts w:eastAsia="Arial" w:cs="Arial"/>
          <w:spacing w:val="1"/>
          <w:sz w:val="24"/>
          <w:szCs w:val="24"/>
        </w:rPr>
        <w:t>an</w:t>
      </w:r>
      <w:r w:rsidR="00461912" w:rsidRPr="00461912">
        <w:rPr>
          <w:rFonts w:eastAsia="Arial" w:cs="Arial"/>
          <w:sz w:val="24"/>
          <w:szCs w:val="24"/>
        </w:rPr>
        <w:t>d</w:t>
      </w:r>
      <w:r w:rsidR="00461912" w:rsidRPr="00461912">
        <w:rPr>
          <w:rFonts w:eastAsia="Arial" w:cs="Arial"/>
          <w:spacing w:val="-1"/>
          <w:sz w:val="24"/>
          <w:szCs w:val="24"/>
        </w:rPr>
        <w:t xml:space="preserve"> </w:t>
      </w:r>
      <w:r w:rsidR="00461912" w:rsidRPr="00461912">
        <w:rPr>
          <w:rFonts w:eastAsia="Arial" w:cs="Arial"/>
          <w:spacing w:val="-2"/>
          <w:sz w:val="24"/>
          <w:szCs w:val="24"/>
        </w:rPr>
        <w:t>c</w:t>
      </w:r>
      <w:r w:rsidR="00461912" w:rsidRPr="00461912">
        <w:rPr>
          <w:rFonts w:eastAsia="Arial" w:cs="Arial"/>
          <w:spacing w:val="1"/>
          <w:sz w:val="24"/>
          <w:szCs w:val="24"/>
        </w:rPr>
        <w:t>on</w:t>
      </w:r>
      <w:r w:rsidR="00461912" w:rsidRPr="00461912">
        <w:rPr>
          <w:rFonts w:eastAsia="Arial" w:cs="Arial"/>
          <w:sz w:val="24"/>
          <w:szCs w:val="24"/>
        </w:rPr>
        <w:t>trib</w:t>
      </w:r>
      <w:r w:rsidR="00461912" w:rsidRPr="00461912">
        <w:rPr>
          <w:rFonts w:eastAsia="Arial" w:cs="Arial"/>
          <w:spacing w:val="1"/>
          <w:sz w:val="24"/>
          <w:szCs w:val="24"/>
        </w:rPr>
        <w:t>u</w:t>
      </w:r>
      <w:r w:rsidR="00461912" w:rsidRPr="00461912">
        <w:rPr>
          <w:rFonts w:eastAsia="Arial" w:cs="Arial"/>
          <w:spacing w:val="-2"/>
          <w:sz w:val="24"/>
          <w:szCs w:val="24"/>
        </w:rPr>
        <w:t>t</w:t>
      </w:r>
      <w:r w:rsidR="00461912" w:rsidRPr="00461912">
        <w:rPr>
          <w:rFonts w:eastAsia="Arial" w:cs="Arial"/>
          <w:spacing w:val="1"/>
          <w:sz w:val="24"/>
          <w:szCs w:val="24"/>
        </w:rPr>
        <w:t>e</w:t>
      </w:r>
      <w:r w:rsidR="00461912" w:rsidRPr="00461912">
        <w:rPr>
          <w:rFonts w:eastAsia="Arial" w:cs="Arial"/>
          <w:sz w:val="24"/>
          <w:szCs w:val="24"/>
        </w:rPr>
        <w:t xml:space="preserve">s </w:t>
      </w:r>
      <w:r w:rsidR="00461912" w:rsidRPr="00461912">
        <w:rPr>
          <w:rFonts w:eastAsia="Arial" w:cs="Arial"/>
          <w:spacing w:val="-1"/>
          <w:sz w:val="24"/>
          <w:szCs w:val="24"/>
        </w:rPr>
        <w:t>t</w:t>
      </w:r>
      <w:r w:rsidR="00461912" w:rsidRPr="00461912">
        <w:rPr>
          <w:rFonts w:eastAsia="Arial" w:cs="Arial"/>
          <w:sz w:val="24"/>
          <w:szCs w:val="24"/>
        </w:rPr>
        <w:t>o</w:t>
      </w:r>
      <w:r w:rsidR="00461912" w:rsidRPr="00461912">
        <w:rPr>
          <w:rFonts w:eastAsia="Arial" w:cs="Arial"/>
          <w:spacing w:val="1"/>
          <w:sz w:val="24"/>
          <w:szCs w:val="24"/>
        </w:rPr>
        <w:t xml:space="preserve"> </w:t>
      </w:r>
      <w:r w:rsidR="00461912" w:rsidRPr="00461912">
        <w:rPr>
          <w:rFonts w:eastAsia="Arial" w:cs="Arial"/>
          <w:sz w:val="24"/>
          <w:szCs w:val="24"/>
        </w:rPr>
        <w:t>a s</w:t>
      </w:r>
      <w:r w:rsidR="00461912" w:rsidRPr="00461912">
        <w:rPr>
          <w:rFonts w:eastAsia="Arial" w:cs="Arial"/>
          <w:spacing w:val="1"/>
          <w:sz w:val="24"/>
          <w:szCs w:val="24"/>
        </w:rPr>
        <w:t>u</w:t>
      </w:r>
      <w:r w:rsidR="00461912" w:rsidRPr="00461912">
        <w:rPr>
          <w:rFonts w:eastAsia="Arial" w:cs="Arial"/>
          <w:sz w:val="24"/>
          <w:szCs w:val="24"/>
        </w:rPr>
        <w:t>st</w:t>
      </w:r>
      <w:r w:rsidR="00461912" w:rsidRPr="00461912">
        <w:rPr>
          <w:rFonts w:eastAsia="Arial" w:cs="Arial"/>
          <w:spacing w:val="1"/>
          <w:sz w:val="24"/>
          <w:szCs w:val="24"/>
        </w:rPr>
        <w:t>a</w:t>
      </w:r>
      <w:r w:rsidR="00461912" w:rsidRPr="00461912">
        <w:rPr>
          <w:rFonts w:eastAsia="Arial" w:cs="Arial"/>
          <w:sz w:val="24"/>
          <w:szCs w:val="24"/>
        </w:rPr>
        <w:t>i</w:t>
      </w:r>
      <w:r w:rsidR="00461912" w:rsidRPr="00461912">
        <w:rPr>
          <w:rFonts w:eastAsia="Arial" w:cs="Arial"/>
          <w:spacing w:val="-2"/>
          <w:sz w:val="24"/>
          <w:szCs w:val="24"/>
        </w:rPr>
        <w:t>n</w:t>
      </w:r>
      <w:r w:rsidR="00461912" w:rsidRPr="00461912">
        <w:rPr>
          <w:rFonts w:eastAsia="Arial" w:cs="Arial"/>
          <w:spacing w:val="1"/>
          <w:sz w:val="24"/>
          <w:szCs w:val="24"/>
        </w:rPr>
        <w:t>ab</w:t>
      </w:r>
      <w:r w:rsidR="00461912" w:rsidRPr="00461912">
        <w:rPr>
          <w:rFonts w:eastAsia="Arial" w:cs="Arial"/>
          <w:sz w:val="24"/>
          <w:szCs w:val="24"/>
        </w:rPr>
        <w:t>le</w:t>
      </w:r>
      <w:r w:rsidR="00461912" w:rsidRPr="00461912">
        <w:rPr>
          <w:rFonts w:eastAsia="Arial" w:cs="Arial"/>
          <w:spacing w:val="-1"/>
          <w:sz w:val="24"/>
          <w:szCs w:val="24"/>
        </w:rPr>
        <w:t xml:space="preserve"> </w:t>
      </w:r>
      <w:r w:rsidR="00461912" w:rsidRPr="00461912">
        <w:rPr>
          <w:rFonts w:eastAsia="Arial" w:cs="Arial"/>
          <w:sz w:val="24"/>
          <w:szCs w:val="24"/>
        </w:rPr>
        <w:t>f</w:t>
      </w:r>
      <w:r w:rsidR="00461912" w:rsidRPr="00461912">
        <w:rPr>
          <w:rFonts w:eastAsia="Arial" w:cs="Arial"/>
          <w:spacing w:val="1"/>
          <w:sz w:val="24"/>
          <w:szCs w:val="24"/>
        </w:rPr>
        <w:t>u</w:t>
      </w:r>
      <w:r w:rsidR="00461912" w:rsidRPr="00461912">
        <w:rPr>
          <w:rFonts w:eastAsia="Arial" w:cs="Arial"/>
          <w:sz w:val="24"/>
          <w:szCs w:val="24"/>
        </w:rPr>
        <w:t>t</w:t>
      </w:r>
      <w:r w:rsidR="00461912" w:rsidRPr="00461912">
        <w:rPr>
          <w:rFonts w:eastAsia="Arial" w:cs="Arial"/>
          <w:spacing w:val="1"/>
          <w:sz w:val="24"/>
          <w:szCs w:val="24"/>
        </w:rPr>
        <w:t>u</w:t>
      </w:r>
      <w:r w:rsidR="00461912" w:rsidRPr="00461912">
        <w:rPr>
          <w:rFonts w:eastAsia="Arial" w:cs="Arial"/>
          <w:spacing w:val="-3"/>
          <w:sz w:val="24"/>
          <w:szCs w:val="24"/>
        </w:rPr>
        <w:t>r</w:t>
      </w:r>
      <w:r w:rsidR="00461912" w:rsidRPr="00461912">
        <w:rPr>
          <w:rFonts w:eastAsia="Arial" w:cs="Arial"/>
          <w:spacing w:val="1"/>
          <w:sz w:val="24"/>
          <w:szCs w:val="24"/>
        </w:rPr>
        <w:t>e</w:t>
      </w:r>
      <w:r>
        <w:rPr>
          <w:rFonts w:eastAsia="Arial" w:cs="Arial"/>
          <w:spacing w:val="1"/>
          <w:sz w:val="24"/>
          <w:szCs w:val="24"/>
        </w:rPr>
        <w:t>’</w:t>
      </w:r>
      <w:r w:rsidR="00461912" w:rsidRPr="00461912">
        <w:rPr>
          <w:rFonts w:eastAsia="Arial" w:cs="Arial"/>
          <w:sz w:val="24"/>
          <w:szCs w:val="24"/>
          <w14:cntxtAlts/>
        </w:rPr>
        <w:t>.</w:t>
      </w:r>
    </w:p>
    <w:p w:rsidR="00461912" w:rsidRPr="00461912" w:rsidRDefault="00461912" w:rsidP="00137F4D">
      <w:pPr>
        <w:pStyle w:val="ListParagraph"/>
        <w:numPr>
          <w:ilvl w:val="0"/>
          <w:numId w:val="6"/>
        </w:numPr>
        <w:ind w:left="426" w:hanging="426"/>
        <w:contextualSpacing w:val="0"/>
        <w:rPr>
          <w:rFonts w:eastAsia="Arial" w:cs="Arial"/>
          <w:sz w:val="24"/>
          <w:szCs w:val="24"/>
          <w14:cntxtAlts/>
        </w:rPr>
      </w:pPr>
      <w:r w:rsidRPr="00461912">
        <w:rPr>
          <w:rFonts w:eastAsia="Arial" w:cs="Arial"/>
          <w:sz w:val="24"/>
          <w:szCs w:val="24"/>
          <w14:cntxtAlts/>
        </w:rPr>
        <w:t>It is made up of two separate elements</w:t>
      </w:r>
      <w:r w:rsidRPr="00461912">
        <w:rPr>
          <w:rFonts w:cs="Arial"/>
          <w:sz w:val="24"/>
          <w:szCs w:val="24"/>
        </w:rPr>
        <w:t xml:space="preserve">, </w:t>
      </w:r>
      <w:r w:rsidRPr="00461912">
        <w:rPr>
          <w:rFonts w:cs="Arial"/>
          <w:kern w:val="1"/>
          <w:sz w:val="24"/>
          <w:szCs w:val="24"/>
        </w:rPr>
        <w:t xml:space="preserve">one of which </w:t>
      </w:r>
      <w:r w:rsidR="00137F4D">
        <w:rPr>
          <w:rFonts w:cs="Arial"/>
          <w:kern w:val="1"/>
          <w:sz w:val="24"/>
          <w:szCs w:val="24"/>
        </w:rPr>
        <w:t>wa</w:t>
      </w:r>
      <w:r w:rsidRPr="00461912">
        <w:rPr>
          <w:rFonts w:cs="Arial"/>
          <w:kern w:val="1"/>
          <w:sz w:val="24"/>
          <w:szCs w:val="24"/>
        </w:rPr>
        <w:t>s under review.</w:t>
      </w:r>
    </w:p>
    <w:p w:rsidR="00461912" w:rsidRPr="00461912" w:rsidRDefault="00461912" w:rsidP="00461912">
      <w:pPr>
        <w:spacing w:before="240" w:after="0"/>
        <w:ind w:right="-23"/>
        <w:rPr>
          <w:rFonts w:eastAsia="Arial" w:cs="Arial"/>
          <w:i/>
          <w:sz w:val="24"/>
          <w:szCs w:val="24"/>
          <w14:cntxtAlts/>
        </w:rPr>
      </w:pPr>
      <w:r w:rsidRPr="00461912">
        <w:rPr>
          <w:rFonts w:eastAsia="Arial" w:cs="Arial"/>
          <w:bCs/>
          <w:i/>
          <w:sz w:val="24"/>
          <w:szCs w:val="24"/>
          <w14:cntxtAlts/>
        </w:rPr>
        <w:lastRenderedPageBreak/>
        <w:t>Element 3.3.1</w:t>
      </w:r>
    </w:p>
    <w:p w:rsidR="00461912" w:rsidRPr="00461912" w:rsidRDefault="00461912" w:rsidP="00137F4D">
      <w:pPr>
        <w:pStyle w:val="ListParagraph"/>
        <w:numPr>
          <w:ilvl w:val="0"/>
          <w:numId w:val="6"/>
        </w:numPr>
        <w:ind w:left="426" w:hanging="426"/>
        <w:contextualSpacing w:val="0"/>
        <w:rPr>
          <w:rFonts w:eastAsia="Arial" w:cs="Arial"/>
          <w:sz w:val="24"/>
          <w:szCs w:val="24"/>
          <w14:cntxtAlts/>
        </w:rPr>
      </w:pPr>
      <w:r w:rsidRPr="00461912">
        <w:rPr>
          <w:rFonts w:eastAsia="Arial" w:cs="Arial"/>
          <w:sz w:val="24"/>
          <w:szCs w:val="24"/>
          <w14:cntxtAlts/>
        </w:rPr>
        <w:t>Element 3.3.1 requires:</w:t>
      </w:r>
    </w:p>
    <w:p w:rsidR="00461912" w:rsidRPr="00461912" w:rsidRDefault="00137F4D" w:rsidP="00461912">
      <w:pPr>
        <w:spacing w:before="41" w:after="0"/>
        <w:ind w:right="-20" w:firstLine="720"/>
        <w:rPr>
          <w:rFonts w:eastAsia="Arial" w:cs="Arial"/>
          <w:sz w:val="24"/>
          <w:szCs w:val="24"/>
          <w14:cntxtAlts/>
        </w:rPr>
      </w:pPr>
      <w:r>
        <w:rPr>
          <w:rFonts w:eastAsia="Arial" w:cs="Arial"/>
          <w:sz w:val="24"/>
          <w:szCs w:val="24"/>
        </w:rPr>
        <w:t>‘</w:t>
      </w:r>
      <w:r w:rsidR="00461912" w:rsidRPr="00461912">
        <w:rPr>
          <w:rFonts w:eastAsia="Arial" w:cs="Arial"/>
          <w:sz w:val="24"/>
          <w:szCs w:val="24"/>
        </w:rPr>
        <w:t>S</w:t>
      </w:r>
      <w:r w:rsidR="00461912" w:rsidRPr="00461912">
        <w:rPr>
          <w:rFonts w:eastAsia="Arial" w:cs="Arial"/>
          <w:spacing w:val="1"/>
          <w:sz w:val="24"/>
          <w:szCs w:val="24"/>
        </w:rPr>
        <w:t>u</w:t>
      </w:r>
      <w:r w:rsidR="00461912" w:rsidRPr="00461912">
        <w:rPr>
          <w:rFonts w:eastAsia="Arial" w:cs="Arial"/>
          <w:sz w:val="24"/>
          <w:szCs w:val="24"/>
        </w:rPr>
        <w:t>st</w:t>
      </w:r>
      <w:r w:rsidR="00461912" w:rsidRPr="00461912">
        <w:rPr>
          <w:rFonts w:eastAsia="Arial" w:cs="Arial"/>
          <w:spacing w:val="1"/>
          <w:sz w:val="24"/>
          <w:szCs w:val="24"/>
        </w:rPr>
        <w:t>a</w:t>
      </w:r>
      <w:r w:rsidR="00461912" w:rsidRPr="00461912">
        <w:rPr>
          <w:rFonts w:eastAsia="Arial" w:cs="Arial"/>
          <w:sz w:val="24"/>
          <w:szCs w:val="24"/>
        </w:rPr>
        <w:t>i</w:t>
      </w:r>
      <w:r w:rsidR="00461912" w:rsidRPr="00461912">
        <w:rPr>
          <w:rFonts w:eastAsia="Arial" w:cs="Arial"/>
          <w:spacing w:val="-2"/>
          <w:sz w:val="24"/>
          <w:szCs w:val="24"/>
        </w:rPr>
        <w:t>n</w:t>
      </w:r>
      <w:r w:rsidR="00461912" w:rsidRPr="00461912">
        <w:rPr>
          <w:rFonts w:eastAsia="Arial" w:cs="Arial"/>
          <w:spacing w:val="1"/>
          <w:sz w:val="24"/>
          <w:szCs w:val="24"/>
        </w:rPr>
        <w:t>ab</w:t>
      </w:r>
      <w:r w:rsidR="00461912" w:rsidRPr="00461912">
        <w:rPr>
          <w:rFonts w:eastAsia="Arial" w:cs="Arial"/>
          <w:sz w:val="24"/>
          <w:szCs w:val="24"/>
        </w:rPr>
        <w:t>le</w:t>
      </w:r>
      <w:r w:rsidR="00461912" w:rsidRPr="00461912">
        <w:rPr>
          <w:rFonts w:eastAsia="Arial" w:cs="Arial"/>
          <w:spacing w:val="-1"/>
          <w:sz w:val="24"/>
          <w:szCs w:val="24"/>
        </w:rPr>
        <w:t xml:space="preserve"> </w:t>
      </w:r>
      <w:r w:rsidR="00461912" w:rsidRPr="00461912">
        <w:rPr>
          <w:rFonts w:eastAsia="Arial" w:cs="Arial"/>
          <w:spacing w:val="1"/>
          <w:sz w:val="24"/>
          <w:szCs w:val="24"/>
        </w:rPr>
        <w:t>p</w:t>
      </w:r>
      <w:r w:rsidR="00461912" w:rsidRPr="00461912">
        <w:rPr>
          <w:rFonts w:eastAsia="Arial" w:cs="Arial"/>
          <w:sz w:val="24"/>
          <w:szCs w:val="24"/>
        </w:rPr>
        <w:t>ractices</w:t>
      </w:r>
      <w:r w:rsidR="00461912" w:rsidRPr="00461912">
        <w:rPr>
          <w:rFonts w:eastAsia="Arial" w:cs="Arial"/>
          <w:spacing w:val="-1"/>
          <w:sz w:val="24"/>
          <w:szCs w:val="24"/>
        </w:rPr>
        <w:t xml:space="preserve"> </w:t>
      </w:r>
      <w:r w:rsidR="00461912" w:rsidRPr="00461912">
        <w:rPr>
          <w:rFonts w:eastAsia="Arial" w:cs="Arial"/>
          <w:spacing w:val="1"/>
          <w:sz w:val="24"/>
          <w:szCs w:val="24"/>
        </w:rPr>
        <w:t>a</w:t>
      </w:r>
      <w:r w:rsidR="00461912" w:rsidRPr="00461912">
        <w:rPr>
          <w:rFonts w:eastAsia="Arial" w:cs="Arial"/>
          <w:sz w:val="24"/>
          <w:szCs w:val="24"/>
        </w:rPr>
        <w:t xml:space="preserve">re </w:t>
      </w:r>
      <w:r w:rsidR="00461912" w:rsidRPr="00461912">
        <w:rPr>
          <w:rFonts w:eastAsia="Arial" w:cs="Arial"/>
          <w:spacing w:val="-1"/>
          <w:sz w:val="24"/>
          <w:szCs w:val="24"/>
        </w:rPr>
        <w:t>e</w:t>
      </w:r>
      <w:r w:rsidR="00461912" w:rsidRPr="00461912">
        <w:rPr>
          <w:rFonts w:eastAsia="Arial" w:cs="Arial"/>
          <w:spacing w:val="1"/>
          <w:sz w:val="24"/>
          <w:szCs w:val="24"/>
        </w:rPr>
        <w:t>m</w:t>
      </w:r>
      <w:r w:rsidR="00461912" w:rsidRPr="00461912">
        <w:rPr>
          <w:rFonts w:eastAsia="Arial" w:cs="Arial"/>
          <w:spacing w:val="-1"/>
          <w:sz w:val="24"/>
          <w:szCs w:val="24"/>
        </w:rPr>
        <w:t>b</w:t>
      </w:r>
      <w:r w:rsidR="00461912" w:rsidRPr="00461912">
        <w:rPr>
          <w:rFonts w:eastAsia="Arial" w:cs="Arial"/>
          <w:spacing w:val="1"/>
          <w:sz w:val="24"/>
          <w:szCs w:val="24"/>
        </w:rPr>
        <w:t>ed</w:t>
      </w:r>
      <w:r w:rsidR="00461912" w:rsidRPr="00461912">
        <w:rPr>
          <w:rFonts w:eastAsia="Arial" w:cs="Arial"/>
          <w:spacing w:val="-1"/>
          <w:sz w:val="24"/>
          <w:szCs w:val="24"/>
        </w:rPr>
        <w:t>d</w:t>
      </w:r>
      <w:r w:rsidR="00461912" w:rsidRPr="00461912">
        <w:rPr>
          <w:rFonts w:eastAsia="Arial" w:cs="Arial"/>
          <w:spacing w:val="1"/>
          <w:sz w:val="24"/>
          <w:szCs w:val="24"/>
        </w:rPr>
        <w:t>e</w:t>
      </w:r>
      <w:r w:rsidR="00461912" w:rsidRPr="00461912">
        <w:rPr>
          <w:rFonts w:eastAsia="Arial" w:cs="Arial"/>
          <w:sz w:val="24"/>
          <w:szCs w:val="24"/>
        </w:rPr>
        <w:t>d</w:t>
      </w:r>
      <w:r w:rsidR="00461912" w:rsidRPr="00461912">
        <w:rPr>
          <w:rFonts w:eastAsia="Arial" w:cs="Arial"/>
          <w:spacing w:val="1"/>
          <w:sz w:val="24"/>
          <w:szCs w:val="24"/>
        </w:rPr>
        <w:t xml:space="preserve"> </w:t>
      </w:r>
      <w:r w:rsidR="00461912" w:rsidRPr="00461912">
        <w:rPr>
          <w:rFonts w:eastAsia="Arial" w:cs="Arial"/>
          <w:sz w:val="24"/>
          <w:szCs w:val="24"/>
        </w:rPr>
        <w:t>in</w:t>
      </w:r>
      <w:r w:rsidR="00461912" w:rsidRPr="00461912">
        <w:rPr>
          <w:rFonts w:eastAsia="Arial" w:cs="Arial"/>
          <w:spacing w:val="-1"/>
          <w:sz w:val="24"/>
          <w:szCs w:val="24"/>
        </w:rPr>
        <w:t xml:space="preserve"> </w:t>
      </w:r>
      <w:r w:rsidR="00461912" w:rsidRPr="00461912">
        <w:rPr>
          <w:rFonts w:eastAsia="Arial" w:cs="Arial"/>
          <w:sz w:val="24"/>
          <w:szCs w:val="24"/>
        </w:rPr>
        <w:t>s</w:t>
      </w:r>
      <w:r w:rsidR="00461912" w:rsidRPr="00461912">
        <w:rPr>
          <w:rFonts w:eastAsia="Arial" w:cs="Arial"/>
          <w:spacing w:val="1"/>
          <w:sz w:val="24"/>
          <w:szCs w:val="24"/>
        </w:rPr>
        <w:t>e</w:t>
      </w:r>
      <w:r w:rsidR="00461912" w:rsidRPr="00461912">
        <w:rPr>
          <w:rFonts w:eastAsia="Arial" w:cs="Arial"/>
          <w:sz w:val="24"/>
          <w:szCs w:val="24"/>
        </w:rPr>
        <w:t>r</w:t>
      </w:r>
      <w:r w:rsidR="00461912" w:rsidRPr="00461912">
        <w:rPr>
          <w:rFonts w:eastAsia="Arial" w:cs="Arial"/>
          <w:spacing w:val="-3"/>
          <w:sz w:val="24"/>
          <w:szCs w:val="24"/>
        </w:rPr>
        <w:t>v</w:t>
      </w:r>
      <w:r w:rsidR="00461912" w:rsidRPr="00461912">
        <w:rPr>
          <w:rFonts w:eastAsia="Arial" w:cs="Arial"/>
          <w:spacing w:val="2"/>
          <w:sz w:val="24"/>
          <w:szCs w:val="24"/>
        </w:rPr>
        <w:t>i</w:t>
      </w:r>
      <w:r w:rsidR="00461912" w:rsidRPr="00461912">
        <w:rPr>
          <w:rFonts w:eastAsia="Arial" w:cs="Arial"/>
          <w:sz w:val="24"/>
          <w:szCs w:val="24"/>
        </w:rPr>
        <w:t>ce</w:t>
      </w:r>
      <w:r w:rsidR="00461912" w:rsidRPr="00461912">
        <w:rPr>
          <w:rFonts w:eastAsia="Arial" w:cs="Arial"/>
          <w:spacing w:val="1"/>
          <w:sz w:val="24"/>
          <w:szCs w:val="24"/>
        </w:rPr>
        <w:t xml:space="preserve"> o</w:t>
      </w:r>
      <w:r w:rsidR="00461912" w:rsidRPr="00461912">
        <w:rPr>
          <w:rFonts w:eastAsia="Arial" w:cs="Arial"/>
          <w:spacing w:val="-1"/>
          <w:sz w:val="24"/>
          <w:szCs w:val="24"/>
        </w:rPr>
        <w:t>p</w:t>
      </w:r>
      <w:r w:rsidR="00461912" w:rsidRPr="00461912">
        <w:rPr>
          <w:rFonts w:eastAsia="Arial" w:cs="Arial"/>
          <w:spacing w:val="1"/>
          <w:sz w:val="24"/>
          <w:szCs w:val="24"/>
        </w:rPr>
        <w:t>e</w:t>
      </w:r>
      <w:r w:rsidR="00461912" w:rsidRPr="00461912">
        <w:rPr>
          <w:rFonts w:eastAsia="Arial" w:cs="Arial"/>
          <w:sz w:val="24"/>
          <w:szCs w:val="24"/>
        </w:rPr>
        <w:t>rati</w:t>
      </w:r>
      <w:r w:rsidR="00461912" w:rsidRPr="00461912">
        <w:rPr>
          <w:rFonts w:eastAsia="Arial" w:cs="Arial"/>
          <w:spacing w:val="-1"/>
          <w:sz w:val="24"/>
          <w:szCs w:val="24"/>
        </w:rPr>
        <w:t>o</w:t>
      </w:r>
      <w:r w:rsidR="00461912" w:rsidRPr="00461912">
        <w:rPr>
          <w:rFonts w:eastAsia="Arial" w:cs="Arial"/>
          <w:spacing w:val="1"/>
          <w:sz w:val="24"/>
          <w:szCs w:val="24"/>
        </w:rPr>
        <w:t>n</w:t>
      </w:r>
      <w:r w:rsidR="00461912" w:rsidRPr="00461912">
        <w:rPr>
          <w:rFonts w:eastAsia="Arial" w:cs="Arial"/>
          <w:sz w:val="24"/>
          <w:szCs w:val="24"/>
        </w:rPr>
        <w:t>s</w:t>
      </w:r>
      <w:r>
        <w:rPr>
          <w:rFonts w:eastAsia="Arial" w:cs="Arial"/>
          <w:sz w:val="24"/>
          <w:szCs w:val="24"/>
        </w:rPr>
        <w:t>’</w:t>
      </w:r>
      <w:r w:rsidR="00461912" w:rsidRPr="00461912">
        <w:rPr>
          <w:rFonts w:eastAsia="Arial" w:cs="Arial"/>
          <w:sz w:val="24"/>
          <w:szCs w:val="24"/>
          <w14:cntxtAlts/>
        </w:rPr>
        <w:t>.</w:t>
      </w:r>
    </w:p>
    <w:p w:rsidR="00461912" w:rsidRPr="00461912" w:rsidRDefault="00461912" w:rsidP="00137F4D">
      <w:pPr>
        <w:pStyle w:val="ListParagraph"/>
        <w:numPr>
          <w:ilvl w:val="0"/>
          <w:numId w:val="6"/>
        </w:numPr>
        <w:ind w:left="426" w:hanging="426"/>
        <w:contextualSpacing w:val="0"/>
        <w:rPr>
          <w:rFonts w:eastAsia="Batang" w:cs="Arial"/>
          <w:sz w:val="24"/>
          <w:szCs w:val="24"/>
          <w:lang w:eastAsia="ko-KR"/>
        </w:rPr>
      </w:pPr>
      <w:r w:rsidRPr="00461912">
        <w:rPr>
          <w:rFonts w:cs="Arial"/>
          <w:sz w:val="24"/>
          <w:szCs w:val="24"/>
        </w:rPr>
        <w:t xml:space="preserve">The Panel considered the findings of the Ratings Review Panel decision STR0002, relating to the notion of what constitutes ‘embedded practice’. The Panel discussed the meaning of the term ‘embedded’, concluding that it does set a high benchmark. </w:t>
      </w:r>
    </w:p>
    <w:p w:rsidR="00461912" w:rsidRPr="00461912" w:rsidRDefault="00461912" w:rsidP="00137F4D">
      <w:pPr>
        <w:pStyle w:val="ListParagraph"/>
        <w:numPr>
          <w:ilvl w:val="0"/>
          <w:numId w:val="6"/>
        </w:numPr>
        <w:ind w:left="426" w:hanging="426"/>
        <w:contextualSpacing w:val="0"/>
        <w:rPr>
          <w:rFonts w:eastAsia="Batang" w:cs="Arial"/>
          <w:sz w:val="24"/>
          <w:szCs w:val="24"/>
          <w:lang w:eastAsia="ko-KR"/>
        </w:rPr>
      </w:pPr>
      <w:r w:rsidRPr="00461912">
        <w:rPr>
          <w:rFonts w:eastAsia="Batang" w:cs="Arial"/>
          <w:sz w:val="24"/>
          <w:szCs w:val="24"/>
          <w:lang w:eastAsia="ko-KR"/>
        </w:rPr>
        <w:t xml:space="preserve">The Panel discussed the service’s environmental sustainability policy and agreed that it appears to reflect some of the practices of the service. </w:t>
      </w:r>
    </w:p>
    <w:p w:rsidR="00461912" w:rsidRPr="00461912" w:rsidRDefault="00461912" w:rsidP="00137F4D">
      <w:pPr>
        <w:pStyle w:val="ListParagraph"/>
        <w:numPr>
          <w:ilvl w:val="0"/>
          <w:numId w:val="6"/>
        </w:numPr>
        <w:ind w:left="426" w:hanging="426"/>
        <w:contextualSpacing w:val="0"/>
        <w:rPr>
          <w:rFonts w:eastAsia="Batang" w:cs="Arial"/>
          <w:sz w:val="24"/>
          <w:szCs w:val="24"/>
          <w:lang w:eastAsia="ko-KR"/>
        </w:rPr>
      </w:pPr>
      <w:r w:rsidRPr="00461912">
        <w:rPr>
          <w:rFonts w:cs="Arial"/>
          <w:sz w:val="24"/>
          <w:szCs w:val="24"/>
        </w:rPr>
        <w:t>The Panel noted the information in the initial decision and at first tier review, and agreed that these show positive examples of sustainable practice. For example, use of recycled/junk materials in craft experiences, children using the recycling bin, water tank near the sand pit, food scrap recycling and vegetable garden.</w:t>
      </w:r>
    </w:p>
    <w:p w:rsidR="00461912" w:rsidRPr="00461912" w:rsidRDefault="00461912" w:rsidP="00137F4D">
      <w:pPr>
        <w:pStyle w:val="ListParagraph"/>
        <w:numPr>
          <w:ilvl w:val="0"/>
          <w:numId w:val="6"/>
        </w:numPr>
        <w:ind w:left="426" w:hanging="426"/>
        <w:contextualSpacing w:val="0"/>
        <w:rPr>
          <w:rFonts w:eastAsia="Batang" w:cs="Arial"/>
          <w:sz w:val="24"/>
          <w:szCs w:val="24"/>
          <w:lang w:eastAsia="ko-KR"/>
        </w:rPr>
      </w:pPr>
      <w:r w:rsidRPr="00461912">
        <w:rPr>
          <w:rFonts w:cs="Arial"/>
          <w:sz w:val="24"/>
          <w:szCs w:val="24"/>
        </w:rPr>
        <w:t xml:space="preserve">The Panel also noted the comments of the Regulatory Authority at first tier review, and questioned the weight applied to what is described as a lack of evidence of a commitment to environmental sustainability embedded in the service operations – specifically, in the service philosophy, policies and procedure documents. </w:t>
      </w:r>
    </w:p>
    <w:p w:rsidR="00461912" w:rsidRPr="00461912" w:rsidRDefault="00461912" w:rsidP="00137F4D">
      <w:pPr>
        <w:pStyle w:val="ListParagraph"/>
        <w:numPr>
          <w:ilvl w:val="0"/>
          <w:numId w:val="6"/>
        </w:numPr>
        <w:ind w:left="426" w:hanging="426"/>
        <w:contextualSpacing w:val="0"/>
        <w:rPr>
          <w:rFonts w:eastAsia="Batang" w:cs="Arial"/>
          <w:sz w:val="24"/>
          <w:szCs w:val="24"/>
          <w:lang w:eastAsia="ko-KR"/>
        </w:rPr>
      </w:pPr>
      <w:r w:rsidRPr="00461912">
        <w:rPr>
          <w:rFonts w:eastAsia="Batang" w:cs="Arial"/>
          <w:sz w:val="24"/>
          <w:szCs w:val="24"/>
          <w:lang w:eastAsia="ko-KR"/>
        </w:rPr>
        <w:t xml:space="preserve">The Panel considered the samples of programming documentation and copies of staff meeting and committee meeting minutes provided at second tier review, agreeing that these supported the service’s claims that sustainable practices are embedded in their operations. The Panel did however note opportunities for the service’s environmental sustainability policy document to be tailored and localised.  </w:t>
      </w:r>
    </w:p>
    <w:p w:rsidR="00461912" w:rsidRPr="00461912" w:rsidRDefault="00461912" w:rsidP="00137F4D">
      <w:pPr>
        <w:pStyle w:val="ListParagraph"/>
        <w:numPr>
          <w:ilvl w:val="0"/>
          <w:numId w:val="6"/>
        </w:numPr>
        <w:ind w:left="426" w:hanging="426"/>
        <w:contextualSpacing w:val="0"/>
        <w:rPr>
          <w:rFonts w:eastAsia="Batang" w:cs="Arial"/>
          <w:sz w:val="24"/>
          <w:szCs w:val="24"/>
          <w:lang w:eastAsia="ko-KR"/>
        </w:rPr>
      </w:pPr>
      <w:r w:rsidRPr="00461912">
        <w:rPr>
          <w:rFonts w:eastAsia="Batang" w:cs="Arial"/>
          <w:sz w:val="24"/>
          <w:szCs w:val="24"/>
          <w:lang w:eastAsia="ko-KR"/>
        </w:rPr>
        <w:t>The Panel considered the service’s outdoor environment and its range of natural features in its consideration of this element, including the grass, natural soft fall material, trees and garden areas, and discussed how the service’s investment in maintaining natural elements is evidence of a service which cares actively for its environment.</w:t>
      </w:r>
    </w:p>
    <w:p w:rsidR="00D6330D" w:rsidRPr="00461912" w:rsidRDefault="00461912" w:rsidP="00137F4D">
      <w:pPr>
        <w:pStyle w:val="ListParagraph"/>
        <w:numPr>
          <w:ilvl w:val="0"/>
          <w:numId w:val="6"/>
        </w:numPr>
        <w:ind w:left="426" w:hanging="426"/>
        <w:contextualSpacing w:val="0"/>
        <w:rPr>
          <w:rFonts w:cs="Arial"/>
          <w:sz w:val="24"/>
          <w:szCs w:val="24"/>
        </w:rPr>
      </w:pPr>
      <w:r w:rsidRPr="00137F4D">
        <w:rPr>
          <w:rFonts w:eastAsia="Arial" w:cs="Arial"/>
          <w:sz w:val="24"/>
          <w:szCs w:val="24"/>
          <w14:cntxtAlts/>
        </w:rPr>
        <w:t>The</w:t>
      </w:r>
      <w:r w:rsidRPr="00461912">
        <w:rPr>
          <w:rFonts w:cs="Arial"/>
          <w:sz w:val="24"/>
          <w:szCs w:val="24"/>
        </w:rPr>
        <w:t xml:space="preserve"> Panel concluded that this element should be amended to ‘met’. The Panel noted that by amending this element, the service met all elements under standard 3.3. The Panel briefly considered whether there was evidence to support a rating of ‘Exceeding National Quality Standard’ for the standard and concluded that the evidence supported a rating of ‘Meeting National Quality Standard’ for standard 3.3</w:t>
      </w:r>
      <w:r w:rsidR="00D6330D" w:rsidRPr="00461912">
        <w:rPr>
          <w:rFonts w:cs="Arial"/>
          <w:sz w:val="24"/>
          <w:szCs w:val="24"/>
        </w:rPr>
        <w:t>.</w:t>
      </w:r>
    </w:p>
    <w:p w:rsidR="00DA1B37" w:rsidRPr="00461912" w:rsidRDefault="00DA1B37">
      <w:pPr>
        <w:rPr>
          <w:rFonts w:cs="Arial"/>
          <w:sz w:val="24"/>
          <w:szCs w:val="24"/>
        </w:rPr>
      </w:pPr>
    </w:p>
    <w:sectPr w:rsidR="00DA1B37" w:rsidRPr="00461912" w:rsidSect="004208EF">
      <w:footerReference w:type="default" r:id="rId8"/>
      <w:headerReference w:type="first" r:id="rId9"/>
      <w:pgSz w:w="11906" w:h="16838"/>
      <w:pgMar w:top="1114" w:right="1440" w:bottom="1440" w:left="1440" w:header="708" w:footer="397"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8D6" w:rsidRDefault="001908D6">
      <w:pPr>
        <w:spacing w:before="0" w:after="0" w:line="240" w:lineRule="auto"/>
      </w:pPr>
      <w:r>
        <w:separator/>
      </w:r>
    </w:p>
  </w:endnote>
  <w:endnote w:type="continuationSeparator" w:id="0">
    <w:p w:rsidR="001908D6" w:rsidRDefault="001908D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Batang">
    <w:altName w:val="바탕"/>
    <w:panose1 w:val="00000000000000000000"/>
    <w:charset w:val="81"/>
    <w:family w:val="auto"/>
    <w:notTrueType/>
    <w:pitch w:val="fixed"/>
    <w:sig w:usb0="00000001" w:usb1="09060000" w:usb2="00000010" w:usb3="00000000" w:csb0="0008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8467901"/>
      <w:docPartObj>
        <w:docPartGallery w:val="Page Numbers (Bottom of Page)"/>
        <w:docPartUnique/>
      </w:docPartObj>
    </w:sdtPr>
    <w:sdtEndPr>
      <w:rPr>
        <w:noProof/>
      </w:rPr>
    </w:sdtEndPr>
    <w:sdtContent>
      <w:p w:rsidR="00403D44" w:rsidRDefault="00403D44">
        <w:pPr>
          <w:pStyle w:val="Footer"/>
          <w:jc w:val="right"/>
        </w:pPr>
        <w:r>
          <w:fldChar w:fldCharType="begin"/>
        </w:r>
        <w:r>
          <w:instrText xml:space="preserve"> PAGE   \* MERGEFORMAT </w:instrText>
        </w:r>
        <w:r>
          <w:fldChar w:fldCharType="separate"/>
        </w:r>
        <w:r w:rsidR="00EA719B">
          <w:rPr>
            <w:noProof/>
          </w:rPr>
          <w:t>5</w:t>
        </w:r>
        <w:r>
          <w:rPr>
            <w:noProof/>
          </w:rPr>
          <w:fldChar w:fldCharType="end"/>
        </w:r>
      </w:p>
    </w:sdtContent>
  </w:sdt>
  <w:p w:rsidR="00403D44" w:rsidRDefault="00403D4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8D6" w:rsidRDefault="001908D6">
      <w:pPr>
        <w:spacing w:before="0" w:after="0" w:line="240" w:lineRule="auto"/>
      </w:pPr>
      <w:r>
        <w:separator/>
      </w:r>
    </w:p>
  </w:footnote>
  <w:footnote w:type="continuationSeparator" w:id="0">
    <w:p w:rsidR="001908D6" w:rsidRDefault="001908D6">
      <w:pPr>
        <w:spacing w:before="0"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1AD" w:rsidRDefault="00EA11AD">
    <w:pPr>
      <w:pStyle w:val="Header"/>
    </w:pPr>
    <w:r>
      <w:rPr>
        <w:noProof/>
        <w:lang w:val="en-US" w:eastAsia="en-US"/>
      </w:rPr>
      <w:drawing>
        <wp:anchor distT="0" distB="0" distL="114300" distR="114300" simplePos="0" relativeHeight="251659264" behindDoc="0" locked="0" layoutInCell="1" allowOverlap="1" wp14:anchorId="4ADAE369" wp14:editId="4A530890">
          <wp:simplePos x="0" y="0"/>
          <wp:positionH relativeFrom="margin">
            <wp:posOffset>-771525</wp:posOffset>
          </wp:positionH>
          <wp:positionV relativeFrom="margin">
            <wp:posOffset>-465455</wp:posOffset>
          </wp:positionV>
          <wp:extent cx="2533650" cy="1031240"/>
          <wp:effectExtent l="0" t="0" r="0" b="0"/>
          <wp:wrapSquare wrapText="bothSides"/>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l="11295" t="21033" r="11629" b="22179"/>
                  <a:stretch>
                    <a:fillRect/>
                  </a:stretch>
                </pic:blipFill>
                <pic:spPr bwMode="auto">
                  <a:xfrm>
                    <a:off x="0" y="0"/>
                    <a:ext cx="2533650" cy="10312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31F3"/>
    <w:multiLevelType w:val="multilevel"/>
    <w:tmpl w:val="EF181FC2"/>
    <w:styleLink w:val="GarryNumbers1"/>
    <w:lvl w:ilvl="0">
      <w:start w:val="1"/>
      <w:numFmt w:val="lowerLetter"/>
      <w:pStyle w:val="ListNumber"/>
      <w:lvlText w:val="%1."/>
      <w:lvlJc w:val="left"/>
      <w:pPr>
        <w:tabs>
          <w:tab w:val="num" w:pos="2268"/>
        </w:tabs>
        <w:ind w:left="2268" w:hanging="283"/>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nsid w:val="0D3D131B"/>
    <w:multiLevelType w:val="hybridMultilevel"/>
    <w:tmpl w:val="6B389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0755610"/>
    <w:multiLevelType w:val="hybridMultilevel"/>
    <w:tmpl w:val="0674E986"/>
    <w:lvl w:ilvl="0" w:tplc="F822C556">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5E4CFBB0">
      <w:start w:val="1"/>
      <w:numFmt w:val="lowerLetter"/>
      <w:lvlText w:val="(%3)"/>
      <w:lvlJc w:val="left"/>
      <w:pPr>
        <w:ind w:left="3060" w:hanging="10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51113D6D"/>
    <w:multiLevelType w:val="hybridMultilevel"/>
    <w:tmpl w:val="6854DF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69094821"/>
    <w:multiLevelType w:val="hybridMultilevel"/>
    <w:tmpl w:val="30103BE0"/>
    <w:lvl w:ilvl="0" w:tplc="8EEEC256">
      <w:start w:val="1"/>
      <w:numFmt w:val="decimal"/>
      <w:lvlText w:val="%1."/>
      <w:lvlJc w:val="left"/>
      <w:pPr>
        <w:ind w:left="360" w:hanging="360"/>
      </w:pPr>
      <w:rPr>
        <w:rFonts w:ascii="Arial" w:hAnsi="Arial" w:cs="Arial" w:hint="default"/>
        <w:b w:val="0"/>
        <w:i w:val="0"/>
        <w:color w:val="auto"/>
        <w:sz w:val="24"/>
        <w:szCs w:val="24"/>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6CCF1474"/>
    <w:multiLevelType w:val="hybridMultilevel"/>
    <w:tmpl w:val="CE029F2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0AE1E23"/>
    <w:multiLevelType w:val="hybridMultilevel"/>
    <w:tmpl w:val="9904CB12"/>
    <w:lvl w:ilvl="0" w:tplc="8EEEC256">
      <w:start w:val="1"/>
      <w:numFmt w:val="decimal"/>
      <w:lvlText w:val="%1."/>
      <w:lvlJc w:val="left"/>
      <w:pPr>
        <w:ind w:left="720" w:hanging="360"/>
      </w:pPr>
      <w:rPr>
        <w:rFonts w:ascii="Arial" w:hAnsi="Arial" w:cs="Arial" w:hint="default"/>
        <w:b w:val="0"/>
        <w:i w:val="0"/>
        <w:color w:val="auto"/>
        <w:sz w:val="24"/>
        <w:szCs w:val="24"/>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E7FE805C">
      <w:start w:val="1"/>
      <w:numFmt w:val="lowerLetter"/>
      <w:lvlText w:val="(%4)"/>
      <w:lvlJc w:val="left"/>
      <w:pPr>
        <w:ind w:left="3600" w:hanging="1080"/>
      </w:pPr>
      <w:rPr>
        <w:rFonts w:cs="Times New Roman"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9C24C38"/>
    <w:multiLevelType w:val="hybridMultilevel"/>
    <w:tmpl w:val="A7EC96A8"/>
    <w:lvl w:ilvl="0" w:tplc="0C090003">
      <w:start w:val="1"/>
      <w:numFmt w:val="bullet"/>
      <w:lvlText w:val="o"/>
      <w:lvlJc w:val="left"/>
      <w:pPr>
        <w:ind w:left="1077" w:hanging="360"/>
      </w:pPr>
      <w:rPr>
        <w:rFonts w:ascii="Courier New" w:hAnsi="Courier New" w:hint="default"/>
      </w:rPr>
    </w:lvl>
    <w:lvl w:ilvl="1" w:tplc="0C090003" w:tentative="1">
      <w:start w:val="1"/>
      <w:numFmt w:val="bullet"/>
      <w:lvlText w:val="o"/>
      <w:lvlJc w:val="left"/>
      <w:pPr>
        <w:ind w:left="1797" w:hanging="360"/>
      </w:pPr>
      <w:rPr>
        <w:rFonts w:ascii="Courier New" w:hAnsi="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hint="default"/>
      </w:rPr>
    </w:lvl>
    <w:lvl w:ilvl="8" w:tplc="0C090005" w:tentative="1">
      <w:start w:val="1"/>
      <w:numFmt w:val="bullet"/>
      <w:lvlText w:val=""/>
      <w:lvlJc w:val="left"/>
      <w:pPr>
        <w:ind w:left="6837" w:hanging="360"/>
      </w:pPr>
      <w:rPr>
        <w:rFonts w:ascii="Wingdings" w:hAnsi="Wingdings" w:hint="default"/>
      </w:rPr>
    </w:lvl>
  </w:abstractNum>
  <w:num w:numId="1">
    <w:abstractNumId w:val="6"/>
  </w:num>
  <w:num w:numId="2">
    <w:abstractNumId w:val="3"/>
  </w:num>
  <w:num w:numId="3">
    <w:abstractNumId w:val="4"/>
  </w:num>
  <w:num w:numId="4">
    <w:abstractNumId w:val="7"/>
  </w:num>
  <w:num w:numId="5">
    <w:abstractNumId w:val="0"/>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30D"/>
    <w:rsid w:val="000839EA"/>
    <w:rsid w:val="00137F4D"/>
    <w:rsid w:val="00167B82"/>
    <w:rsid w:val="001908D6"/>
    <w:rsid w:val="003551C3"/>
    <w:rsid w:val="003A340D"/>
    <w:rsid w:val="00403D44"/>
    <w:rsid w:val="004208EF"/>
    <w:rsid w:val="00461912"/>
    <w:rsid w:val="00592C67"/>
    <w:rsid w:val="005D1B79"/>
    <w:rsid w:val="00671EF5"/>
    <w:rsid w:val="00775ACE"/>
    <w:rsid w:val="007810E0"/>
    <w:rsid w:val="00836442"/>
    <w:rsid w:val="008808B8"/>
    <w:rsid w:val="008A6658"/>
    <w:rsid w:val="00900970"/>
    <w:rsid w:val="00AC611A"/>
    <w:rsid w:val="00D6330D"/>
    <w:rsid w:val="00DA1B37"/>
    <w:rsid w:val="00EA11AD"/>
    <w:rsid w:val="00EA719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30D"/>
    <w:pPr>
      <w:spacing w:before="120" w:after="120"/>
    </w:pPr>
    <w:rPr>
      <w:rFonts w:ascii="Arial" w:eastAsia="Times New Roman" w:hAnsi="Arial"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33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30D"/>
    <w:rPr>
      <w:rFonts w:ascii="Arial" w:eastAsia="Times New Roman" w:hAnsi="Arial" w:cs="Times New Roman"/>
      <w:lang w:eastAsia="en-AU"/>
    </w:rPr>
  </w:style>
  <w:style w:type="paragraph" w:styleId="Footer">
    <w:name w:val="footer"/>
    <w:basedOn w:val="Normal"/>
    <w:link w:val="FooterChar"/>
    <w:uiPriority w:val="99"/>
    <w:rsid w:val="00D633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30D"/>
    <w:rPr>
      <w:rFonts w:ascii="Arial" w:eastAsia="Times New Roman" w:hAnsi="Arial" w:cs="Times New Roman"/>
      <w:lang w:eastAsia="en-AU"/>
    </w:rPr>
  </w:style>
  <w:style w:type="paragraph" w:styleId="Subtitle">
    <w:name w:val="Subtitle"/>
    <w:basedOn w:val="Normal"/>
    <w:next w:val="Normal"/>
    <w:link w:val="SubtitleChar"/>
    <w:uiPriority w:val="99"/>
    <w:qFormat/>
    <w:rsid w:val="00D6330D"/>
    <w:pPr>
      <w:numPr>
        <w:ilvl w:val="1"/>
      </w:numPr>
    </w:pPr>
    <w:rPr>
      <w:i/>
      <w:iCs/>
      <w:color w:val="00B050"/>
      <w:spacing w:val="15"/>
      <w:sz w:val="24"/>
      <w:szCs w:val="24"/>
    </w:rPr>
  </w:style>
  <w:style w:type="character" w:customStyle="1" w:styleId="SubtitleChar">
    <w:name w:val="Subtitle Char"/>
    <w:basedOn w:val="DefaultParagraphFont"/>
    <w:link w:val="Subtitle"/>
    <w:uiPriority w:val="99"/>
    <w:rsid w:val="00D6330D"/>
    <w:rPr>
      <w:rFonts w:ascii="Arial" w:eastAsia="Times New Roman" w:hAnsi="Arial" w:cs="Times New Roman"/>
      <w:i/>
      <w:iCs/>
      <w:color w:val="00B050"/>
      <w:spacing w:val="15"/>
      <w:sz w:val="24"/>
      <w:szCs w:val="24"/>
      <w:lang w:eastAsia="en-AU"/>
    </w:rPr>
  </w:style>
  <w:style w:type="character" w:styleId="Strong">
    <w:name w:val="Strong"/>
    <w:basedOn w:val="DefaultParagraphFont"/>
    <w:uiPriority w:val="99"/>
    <w:qFormat/>
    <w:rsid w:val="00D6330D"/>
    <w:rPr>
      <w:rFonts w:cs="Times New Roman"/>
      <w:b/>
      <w:bCs/>
    </w:rPr>
  </w:style>
  <w:style w:type="paragraph" w:styleId="ListParagraph">
    <w:name w:val="List Paragraph"/>
    <w:basedOn w:val="Normal"/>
    <w:link w:val="ListParagraphChar"/>
    <w:uiPriority w:val="34"/>
    <w:qFormat/>
    <w:rsid w:val="00D6330D"/>
    <w:pPr>
      <w:ind w:left="720"/>
      <w:contextualSpacing/>
    </w:pPr>
  </w:style>
  <w:style w:type="paragraph" w:styleId="BodyText">
    <w:name w:val="Body Text"/>
    <w:basedOn w:val="Normal"/>
    <w:link w:val="BodyTextChar"/>
    <w:uiPriority w:val="99"/>
    <w:rsid w:val="00D6330D"/>
    <w:pPr>
      <w:tabs>
        <w:tab w:val="left" w:pos="1985"/>
      </w:tabs>
      <w:spacing w:before="130" w:after="130" w:line="240" w:lineRule="auto"/>
    </w:pPr>
    <w:rPr>
      <w:rFonts w:eastAsia="Batang"/>
      <w:sz w:val="24"/>
      <w:szCs w:val="20"/>
      <w:lang w:eastAsia="ko-KR"/>
    </w:rPr>
  </w:style>
  <w:style w:type="character" w:customStyle="1" w:styleId="BodyTextChar">
    <w:name w:val="Body Text Char"/>
    <w:basedOn w:val="DefaultParagraphFont"/>
    <w:link w:val="BodyText"/>
    <w:uiPriority w:val="99"/>
    <w:rsid w:val="00D6330D"/>
    <w:rPr>
      <w:rFonts w:ascii="Arial" w:eastAsia="Batang" w:hAnsi="Arial" w:cs="Times New Roman"/>
      <w:sz w:val="24"/>
      <w:szCs w:val="20"/>
      <w:lang w:eastAsia="ko-KR"/>
    </w:rPr>
  </w:style>
  <w:style w:type="paragraph" w:styleId="ListNumber">
    <w:name w:val="List Number"/>
    <w:basedOn w:val="BodyText"/>
    <w:uiPriority w:val="99"/>
    <w:rsid w:val="004208EF"/>
    <w:pPr>
      <w:numPr>
        <w:numId w:val="5"/>
      </w:numPr>
      <w:tabs>
        <w:tab w:val="clear" w:pos="1985"/>
      </w:tabs>
      <w:spacing w:before="0" w:after="60"/>
      <w:ind w:left="2269" w:hanging="284"/>
    </w:pPr>
  </w:style>
  <w:style w:type="numbering" w:customStyle="1" w:styleId="GarryNumbers1">
    <w:name w:val="Garry Numbers 1"/>
    <w:rsid w:val="004208EF"/>
    <w:pPr>
      <w:numPr>
        <w:numId w:val="5"/>
      </w:numPr>
    </w:pPr>
  </w:style>
  <w:style w:type="character" w:customStyle="1" w:styleId="ListParagraphChar">
    <w:name w:val="List Paragraph Char"/>
    <w:basedOn w:val="DefaultParagraphFont"/>
    <w:link w:val="ListParagraph"/>
    <w:uiPriority w:val="34"/>
    <w:locked/>
    <w:rsid w:val="004208EF"/>
    <w:rPr>
      <w:rFonts w:ascii="Arial" w:eastAsia="Times New Roman" w:hAnsi="Arial" w:cs="Times New Roman"/>
      <w:lang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30D"/>
    <w:pPr>
      <w:spacing w:before="120" w:after="120"/>
    </w:pPr>
    <w:rPr>
      <w:rFonts w:ascii="Arial" w:eastAsia="Times New Roman" w:hAnsi="Arial"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33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30D"/>
    <w:rPr>
      <w:rFonts w:ascii="Arial" w:eastAsia="Times New Roman" w:hAnsi="Arial" w:cs="Times New Roman"/>
      <w:lang w:eastAsia="en-AU"/>
    </w:rPr>
  </w:style>
  <w:style w:type="paragraph" w:styleId="Footer">
    <w:name w:val="footer"/>
    <w:basedOn w:val="Normal"/>
    <w:link w:val="FooterChar"/>
    <w:uiPriority w:val="99"/>
    <w:rsid w:val="00D633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30D"/>
    <w:rPr>
      <w:rFonts w:ascii="Arial" w:eastAsia="Times New Roman" w:hAnsi="Arial" w:cs="Times New Roman"/>
      <w:lang w:eastAsia="en-AU"/>
    </w:rPr>
  </w:style>
  <w:style w:type="paragraph" w:styleId="Subtitle">
    <w:name w:val="Subtitle"/>
    <w:basedOn w:val="Normal"/>
    <w:next w:val="Normal"/>
    <w:link w:val="SubtitleChar"/>
    <w:uiPriority w:val="99"/>
    <w:qFormat/>
    <w:rsid w:val="00D6330D"/>
    <w:pPr>
      <w:numPr>
        <w:ilvl w:val="1"/>
      </w:numPr>
    </w:pPr>
    <w:rPr>
      <w:i/>
      <w:iCs/>
      <w:color w:val="00B050"/>
      <w:spacing w:val="15"/>
      <w:sz w:val="24"/>
      <w:szCs w:val="24"/>
    </w:rPr>
  </w:style>
  <w:style w:type="character" w:customStyle="1" w:styleId="SubtitleChar">
    <w:name w:val="Subtitle Char"/>
    <w:basedOn w:val="DefaultParagraphFont"/>
    <w:link w:val="Subtitle"/>
    <w:uiPriority w:val="99"/>
    <w:rsid w:val="00D6330D"/>
    <w:rPr>
      <w:rFonts w:ascii="Arial" w:eastAsia="Times New Roman" w:hAnsi="Arial" w:cs="Times New Roman"/>
      <w:i/>
      <w:iCs/>
      <w:color w:val="00B050"/>
      <w:spacing w:val="15"/>
      <w:sz w:val="24"/>
      <w:szCs w:val="24"/>
      <w:lang w:eastAsia="en-AU"/>
    </w:rPr>
  </w:style>
  <w:style w:type="character" w:styleId="Strong">
    <w:name w:val="Strong"/>
    <w:basedOn w:val="DefaultParagraphFont"/>
    <w:uiPriority w:val="99"/>
    <w:qFormat/>
    <w:rsid w:val="00D6330D"/>
    <w:rPr>
      <w:rFonts w:cs="Times New Roman"/>
      <w:b/>
      <w:bCs/>
    </w:rPr>
  </w:style>
  <w:style w:type="paragraph" w:styleId="ListParagraph">
    <w:name w:val="List Paragraph"/>
    <w:basedOn w:val="Normal"/>
    <w:link w:val="ListParagraphChar"/>
    <w:uiPriority w:val="34"/>
    <w:qFormat/>
    <w:rsid w:val="00D6330D"/>
    <w:pPr>
      <w:ind w:left="720"/>
      <w:contextualSpacing/>
    </w:pPr>
  </w:style>
  <w:style w:type="paragraph" w:styleId="BodyText">
    <w:name w:val="Body Text"/>
    <w:basedOn w:val="Normal"/>
    <w:link w:val="BodyTextChar"/>
    <w:uiPriority w:val="99"/>
    <w:rsid w:val="00D6330D"/>
    <w:pPr>
      <w:tabs>
        <w:tab w:val="left" w:pos="1985"/>
      </w:tabs>
      <w:spacing w:before="130" w:after="130" w:line="240" w:lineRule="auto"/>
    </w:pPr>
    <w:rPr>
      <w:rFonts w:eastAsia="Batang"/>
      <w:sz w:val="24"/>
      <w:szCs w:val="20"/>
      <w:lang w:eastAsia="ko-KR"/>
    </w:rPr>
  </w:style>
  <w:style w:type="character" w:customStyle="1" w:styleId="BodyTextChar">
    <w:name w:val="Body Text Char"/>
    <w:basedOn w:val="DefaultParagraphFont"/>
    <w:link w:val="BodyText"/>
    <w:uiPriority w:val="99"/>
    <w:rsid w:val="00D6330D"/>
    <w:rPr>
      <w:rFonts w:ascii="Arial" w:eastAsia="Batang" w:hAnsi="Arial" w:cs="Times New Roman"/>
      <w:sz w:val="24"/>
      <w:szCs w:val="20"/>
      <w:lang w:eastAsia="ko-KR"/>
    </w:rPr>
  </w:style>
  <w:style w:type="paragraph" w:styleId="ListNumber">
    <w:name w:val="List Number"/>
    <w:basedOn w:val="BodyText"/>
    <w:uiPriority w:val="99"/>
    <w:rsid w:val="004208EF"/>
    <w:pPr>
      <w:numPr>
        <w:numId w:val="5"/>
      </w:numPr>
      <w:tabs>
        <w:tab w:val="clear" w:pos="1985"/>
      </w:tabs>
      <w:spacing w:before="0" w:after="60"/>
      <w:ind w:left="2269" w:hanging="284"/>
    </w:pPr>
  </w:style>
  <w:style w:type="numbering" w:customStyle="1" w:styleId="GarryNumbers1">
    <w:name w:val="Garry Numbers 1"/>
    <w:rsid w:val="004208EF"/>
    <w:pPr>
      <w:numPr>
        <w:numId w:val="5"/>
      </w:numPr>
    </w:pPr>
  </w:style>
  <w:style w:type="character" w:customStyle="1" w:styleId="ListParagraphChar">
    <w:name w:val="List Paragraph Char"/>
    <w:basedOn w:val="DefaultParagraphFont"/>
    <w:link w:val="ListParagraph"/>
    <w:uiPriority w:val="34"/>
    <w:locked/>
    <w:rsid w:val="004208EF"/>
    <w:rPr>
      <w:rFonts w:ascii="Arial" w:eastAsia="Times New Roman" w:hAnsi="Arial"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1600</Words>
  <Characters>9120</Characters>
  <Application>Microsoft Macintosh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Mason</dc:creator>
  <cp:lastModifiedBy>Jamie Yusuf</cp:lastModifiedBy>
  <cp:revision>2</cp:revision>
  <dcterms:created xsi:type="dcterms:W3CDTF">2013-12-13T00:54:00Z</dcterms:created>
  <dcterms:modified xsi:type="dcterms:W3CDTF">2013-12-13T00:54:00Z</dcterms:modified>
</cp:coreProperties>
</file>