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7BB" w:rsidRPr="00996E04" w:rsidRDefault="00C207BB" w:rsidP="00555414">
      <w:pPr>
        <w:rPr>
          <w:b/>
          <w:sz w:val="32"/>
        </w:rPr>
      </w:pPr>
      <w:r w:rsidRPr="00555414">
        <w:rPr>
          <w:b/>
          <w:i/>
          <w:noProof/>
          <w:sz w:val="36"/>
          <w:szCs w:val="32"/>
          <w:lang w:val="en-US" w:eastAsia="en-US"/>
          <w14:cntxtAlts/>
        </w:rPr>
        <mc:AlternateContent>
          <mc:Choice Requires="wps">
            <w:drawing>
              <wp:anchor distT="0" distB="0" distL="114300" distR="114300" simplePos="0" relativeHeight="251658240" behindDoc="0" locked="0" layoutInCell="1" allowOverlap="1" wp14:anchorId="4D538D11" wp14:editId="30E61004">
                <wp:simplePos x="0" y="0"/>
                <wp:positionH relativeFrom="column">
                  <wp:posOffset>3980180</wp:posOffset>
                </wp:positionH>
                <wp:positionV relativeFrom="paragraph">
                  <wp:posOffset>-1128395</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4934" w:rsidRPr="00384A60" w:rsidRDefault="00BB4934" w:rsidP="00762980">
                            <w:pPr>
                              <w:rPr>
                                <w:rFonts w:cs="Arial"/>
                                <w:b/>
                                <w:color w:val="FFFFFF" w:themeColor="background1"/>
                                <w:sz w:val="28"/>
                                <w:szCs w:val="28"/>
                              </w:rPr>
                            </w:pPr>
                            <w:r w:rsidRPr="00384A60">
                              <w:rPr>
                                <w:rFonts w:cs="Arial"/>
                                <w:b/>
                                <w:color w:val="FFFFFF" w:themeColor="background1"/>
                                <w:sz w:val="28"/>
                                <w:szCs w:val="28"/>
                              </w:rPr>
                              <w:t>Ratings Review Panel</w:t>
                            </w:r>
                          </w:p>
                          <w:p w:rsidR="00BB4934" w:rsidRPr="00384A60" w:rsidRDefault="00BB4934"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3.4pt;margin-top:-88.85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7mjdF4QAAAA0BAAAPAAAA&#10;ZHJzL2Rvd25yZXYueG1sTI/BTsMwEETvSPyDtUjcWrtBTWiIU1VUuYJoQerRjZck1F5HsdOGv8c9&#10;lePOjmbeFOvJGnbGwXeOJCzmAhhS7XRHjYTPfTV7BuaDIq2MI5Twix7W5f1doXLtLvSB511oWAwh&#10;nysJbQh9zrmvW7TKz12PFH/fbrAqxHNouB7UJYZbwxMhUm5VR7GhVT2+tlifdqOVsN2MJhHUN2/6&#10;5327P43V6vBVSfn4MG1egAWcws0MV/yIDmVkOrqRtGdGQpqkET1ImC2yLAN2tQixfAJ2jNoyTYCX&#10;Bf+/ovwDAAD//wMAUEsBAi0AFAAGAAgAAAAhALaDOJL+AAAA4QEAABMAAAAAAAAAAAAAAAAAAAAA&#10;AFtDb250ZW50X1R5cGVzXS54bWxQSwECLQAUAAYACAAAACEAOP0h/9YAAACUAQAACwAAAAAAAAAA&#10;AAAAAAAvAQAAX3JlbHMvLnJlbHNQSwECLQAUAAYACAAAACEAkmlp4KcCAACpBQAADgAAAAAAAAAA&#10;AAAAAAAuAgAAZHJzL2Uyb0RvYy54bWxQSwECLQAUAAYACAAAACEAu5o3ReEAAAANAQAADwAAAAAA&#10;AAAAAAAAAAABBQAAZHJzL2Rvd25yZXYueG1sUEsFBgAAAAAEAAQA8wAAAA8GAAAAAA==&#10;" fillcolor="#49a942" stroked="f" strokeweight="2pt">
                <v:path arrowok="t"/>
                <v:textbox>
                  <w:txbxContent>
                    <w:p w:rsidR="00BB4934" w:rsidRPr="00384A60" w:rsidRDefault="00BB4934" w:rsidP="00762980">
                      <w:pPr>
                        <w:rPr>
                          <w:rFonts w:cs="Arial"/>
                          <w:b/>
                          <w:color w:val="FFFFFF" w:themeColor="background1"/>
                          <w:sz w:val="28"/>
                          <w:szCs w:val="28"/>
                        </w:rPr>
                      </w:pPr>
                      <w:r w:rsidRPr="00384A60">
                        <w:rPr>
                          <w:rFonts w:cs="Arial"/>
                          <w:b/>
                          <w:color w:val="FFFFFF" w:themeColor="background1"/>
                          <w:sz w:val="28"/>
                          <w:szCs w:val="28"/>
                        </w:rPr>
                        <w:t>Ratings Review Panel</w:t>
                      </w:r>
                    </w:p>
                    <w:p w:rsidR="00BB4934" w:rsidRPr="00384A60" w:rsidRDefault="00BB4934"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Pr="00555414">
        <w:rPr>
          <w:b/>
          <w:sz w:val="24"/>
        </w:rPr>
        <w:t>‘</w:t>
      </w:r>
      <w:r w:rsidRPr="00555414">
        <w:rPr>
          <w:b/>
          <w:sz w:val="32"/>
        </w:rPr>
        <w:t>Approved provider’ and NSW Department of Education and Communities [2014] ACECQARRP STR0012 (9 September 2014)</w:t>
      </w:r>
    </w:p>
    <w:p w:rsidR="00C207BB" w:rsidRPr="00555414" w:rsidRDefault="00C207BB" w:rsidP="00555414">
      <w:pPr>
        <w:rPr>
          <w:sz w:val="24"/>
        </w:rPr>
      </w:pPr>
    </w:p>
    <w:p w:rsidR="00C207BB" w:rsidRPr="00555414" w:rsidRDefault="00C207BB" w:rsidP="00555414">
      <w:pPr>
        <w:rPr>
          <w:sz w:val="24"/>
        </w:rPr>
      </w:pPr>
      <w:r w:rsidRPr="00555414">
        <w:rPr>
          <w:b/>
          <w:sz w:val="24"/>
        </w:rPr>
        <w:t xml:space="preserve">Applicant: </w:t>
      </w:r>
      <w:r w:rsidRPr="00555414">
        <w:rPr>
          <w:b/>
          <w:sz w:val="24"/>
        </w:rPr>
        <w:tab/>
      </w:r>
      <w:r w:rsidR="00916BA5">
        <w:rPr>
          <w:sz w:val="24"/>
        </w:rPr>
        <w:tab/>
      </w:r>
      <w:r w:rsidR="00916BA5">
        <w:rPr>
          <w:sz w:val="24"/>
        </w:rPr>
        <w:tab/>
      </w:r>
      <w:r w:rsidRPr="00555414">
        <w:rPr>
          <w:sz w:val="24"/>
        </w:rPr>
        <w:t xml:space="preserve">‘Approved provider’ </w:t>
      </w:r>
    </w:p>
    <w:p w:rsidR="00C207BB" w:rsidRPr="00555414" w:rsidRDefault="00C207BB" w:rsidP="00555414">
      <w:pPr>
        <w:rPr>
          <w:sz w:val="24"/>
        </w:rPr>
      </w:pPr>
      <w:r w:rsidRPr="00555414">
        <w:rPr>
          <w:b/>
          <w:sz w:val="24"/>
        </w:rPr>
        <w:t xml:space="preserve">Regulatory authority: </w:t>
      </w:r>
      <w:r w:rsidRPr="00555414">
        <w:rPr>
          <w:b/>
          <w:sz w:val="24"/>
        </w:rPr>
        <w:tab/>
      </w:r>
      <w:r w:rsidRPr="00555414">
        <w:rPr>
          <w:sz w:val="24"/>
        </w:rPr>
        <w:t xml:space="preserve">NSW Department of Education and Communities </w:t>
      </w:r>
    </w:p>
    <w:p w:rsidR="00C207BB" w:rsidRPr="00555414" w:rsidRDefault="00C207BB" w:rsidP="00555414">
      <w:pPr>
        <w:rPr>
          <w:sz w:val="24"/>
        </w:rPr>
      </w:pPr>
      <w:r w:rsidRPr="00555414">
        <w:rPr>
          <w:b/>
          <w:sz w:val="24"/>
        </w:rPr>
        <w:t>Decision date:</w:t>
      </w:r>
      <w:r w:rsidR="00916BA5">
        <w:rPr>
          <w:sz w:val="24"/>
        </w:rPr>
        <w:t xml:space="preserve"> </w:t>
      </w:r>
      <w:r w:rsidR="00916BA5">
        <w:rPr>
          <w:sz w:val="24"/>
        </w:rPr>
        <w:tab/>
      </w:r>
      <w:r w:rsidR="00916BA5">
        <w:rPr>
          <w:sz w:val="24"/>
        </w:rPr>
        <w:tab/>
      </w:r>
      <w:r w:rsidRPr="00555414">
        <w:rPr>
          <w:sz w:val="24"/>
        </w:rPr>
        <w:t xml:space="preserve">9 September 2014 </w:t>
      </w:r>
    </w:p>
    <w:p w:rsidR="00C207BB" w:rsidRPr="00555414" w:rsidRDefault="00C207BB" w:rsidP="00555414">
      <w:pPr>
        <w:rPr>
          <w:sz w:val="24"/>
        </w:rPr>
      </w:pPr>
      <w:r w:rsidRPr="00555414">
        <w:rPr>
          <w:b/>
          <w:sz w:val="24"/>
        </w:rPr>
        <w:t>Application reference:</w:t>
      </w:r>
      <w:r w:rsidR="00916BA5">
        <w:rPr>
          <w:sz w:val="24"/>
        </w:rPr>
        <w:t xml:space="preserve"> </w:t>
      </w:r>
      <w:r w:rsidR="00916BA5">
        <w:rPr>
          <w:sz w:val="24"/>
        </w:rPr>
        <w:tab/>
      </w:r>
      <w:r w:rsidRPr="00555414">
        <w:rPr>
          <w:sz w:val="24"/>
        </w:rPr>
        <w:t>STR0012</w:t>
      </w:r>
    </w:p>
    <w:p w:rsidR="00B057CB" w:rsidRPr="003411DD" w:rsidRDefault="00B057CB" w:rsidP="00DF3DF2">
      <w:pPr>
        <w:pStyle w:val="Horizontalline"/>
        <w:spacing w:line="276" w:lineRule="auto"/>
        <w:rPr>
          <w14:cntxtAlts/>
        </w:rPr>
      </w:pPr>
    </w:p>
    <w:p w:rsidR="00B057CB" w:rsidRPr="00147535" w:rsidRDefault="00B057CB" w:rsidP="00DF3DF2">
      <w:pPr>
        <w:pStyle w:val="BodyText"/>
        <w:spacing w:line="276" w:lineRule="auto"/>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623144" w:rsidRPr="00623144" w:rsidRDefault="003E29D9" w:rsidP="00623144">
      <w:pPr>
        <w:pStyle w:val="ListParagraph"/>
        <w:spacing w:before="0" w:after="0" w:line="240" w:lineRule="auto"/>
        <w:ind w:left="0"/>
        <w:rPr>
          <w:sz w:val="24"/>
          <w:szCs w:val="24"/>
        </w:rPr>
      </w:pPr>
      <w:r w:rsidRPr="00471FB9">
        <w:rPr>
          <w:rFonts w:cs="Arial"/>
          <w:sz w:val="24"/>
          <w:szCs w:val="24"/>
          <w14:cntxtAlts/>
        </w:rPr>
        <w:t>The Ratings Review Panel (the Panel) by consensus</w:t>
      </w:r>
      <w:r w:rsidR="00471FB9" w:rsidRPr="00471FB9">
        <w:rPr>
          <w:rFonts w:cs="Arial"/>
          <w:sz w:val="24"/>
          <w:szCs w:val="24"/>
          <w14:cntxtAlts/>
        </w:rPr>
        <w:t xml:space="preserve"> decided to amend the </w:t>
      </w:r>
      <w:r w:rsidR="00623144">
        <w:rPr>
          <w:rFonts w:cs="Arial"/>
          <w:sz w:val="24"/>
          <w:szCs w:val="24"/>
          <w14:cntxtAlts/>
        </w:rPr>
        <w:t>rating for standard 6.1 to ‘</w:t>
      </w:r>
      <w:r w:rsidR="00623144" w:rsidRPr="00623144">
        <w:rPr>
          <w:sz w:val="24"/>
          <w:szCs w:val="24"/>
        </w:rPr>
        <w:t>Exceeding NQS</w:t>
      </w:r>
      <w:r w:rsidR="00623144">
        <w:rPr>
          <w:sz w:val="24"/>
          <w:szCs w:val="24"/>
        </w:rPr>
        <w:t xml:space="preserve">’. </w:t>
      </w:r>
    </w:p>
    <w:p w:rsidR="00623144" w:rsidRDefault="00623144" w:rsidP="00623144">
      <w:pPr>
        <w:pStyle w:val="ListParagraph"/>
        <w:spacing w:before="0" w:after="0" w:line="240" w:lineRule="auto"/>
        <w:ind w:left="0"/>
        <w:rPr>
          <w:sz w:val="24"/>
          <w:szCs w:val="24"/>
        </w:rPr>
      </w:pPr>
    </w:p>
    <w:p w:rsidR="006B364A" w:rsidRPr="00F77266" w:rsidRDefault="00C93CCF" w:rsidP="00717F33">
      <w:pPr>
        <w:pStyle w:val="ListParagraph"/>
        <w:spacing w:before="0" w:after="0" w:line="240" w:lineRule="auto"/>
        <w:ind w:left="0"/>
        <w:rPr>
          <w:sz w:val="24"/>
          <w:szCs w:val="24"/>
        </w:rPr>
      </w:pPr>
      <w:r w:rsidRPr="00471FB9">
        <w:rPr>
          <w:rFonts w:cs="Arial"/>
          <w:sz w:val="24"/>
          <w:szCs w:val="24"/>
          <w14:cntxtAlts/>
        </w:rPr>
        <w:t>As a result, t</w:t>
      </w:r>
      <w:r w:rsidR="001D3664" w:rsidRPr="00471FB9">
        <w:rPr>
          <w:rFonts w:cs="Arial"/>
          <w:sz w:val="24"/>
          <w:szCs w:val="24"/>
          <w14:cntxtAlts/>
        </w:rPr>
        <w:t xml:space="preserve">he Panel by consensus </w:t>
      </w:r>
      <w:r w:rsidR="00623144">
        <w:rPr>
          <w:rFonts w:cs="Arial"/>
          <w:sz w:val="24"/>
          <w:szCs w:val="24"/>
          <w14:cntxtAlts/>
        </w:rPr>
        <w:t xml:space="preserve">amended </w:t>
      </w:r>
      <w:r w:rsidR="001D3664" w:rsidRPr="00471FB9">
        <w:rPr>
          <w:rFonts w:cs="Arial"/>
          <w:sz w:val="24"/>
          <w:szCs w:val="24"/>
          <w14:cntxtAlts/>
        </w:rPr>
        <w:t xml:space="preserve">the </w:t>
      </w:r>
      <w:r w:rsidR="0035759C" w:rsidRPr="00471FB9">
        <w:rPr>
          <w:rFonts w:cs="Arial"/>
          <w:sz w:val="24"/>
          <w:szCs w:val="24"/>
          <w14:cntxtAlts/>
        </w:rPr>
        <w:t xml:space="preserve">rating </w:t>
      </w:r>
      <w:r w:rsidR="005E03B8" w:rsidRPr="00471FB9">
        <w:rPr>
          <w:rFonts w:cs="Arial"/>
          <w:sz w:val="24"/>
          <w:szCs w:val="24"/>
          <w14:cntxtAlts/>
        </w:rPr>
        <w:t>for</w:t>
      </w:r>
      <w:r w:rsidR="00B342FB" w:rsidRPr="00471FB9">
        <w:rPr>
          <w:rFonts w:cs="Arial"/>
          <w:sz w:val="24"/>
          <w:szCs w:val="24"/>
          <w14:cntxtAlts/>
        </w:rPr>
        <w:t xml:space="preserve"> </w:t>
      </w:r>
      <w:r w:rsidR="00623144">
        <w:rPr>
          <w:rFonts w:cs="Arial"/>
          <w:sz w:val="24"/>
          <w:szCs w:val="24"/>
          <w14:cntxtAlts/>
        </w:rPr>
        <w:t>Quality Area 6 to ‘</w:t>
      </w:r>
      <w:r w:rsidR="00623144" w:rsidRPr="00623144">
        <w:rPr>
          <w:sz w:val="24"/>
          <w:szCs w:val="24"/>
        </w:rPr>
        <w:t>Exceeding NQS</w:t>
      </w:r>
      <w:r w:rsidR="00623144">
        <w:rPr>
          <w:sz w:val="24"/>
          <w:szCs w:val="24"/>
        </w:rPr>
        <w:t>’</w:t>
      </w:r>
      <w:r w:rsidR="00F77266">
        <w:rPr>
          <w:sz w:val="24"/>
          <w:szCs w:val="24"/>
        </w:rPr>
        <w:t xml:space="preserve">. </w:t>
      </w:r>
      <w:r w:rsidR="006B364A">
        <w:rPr>
          <w:rStyle w:val="Strong"/>
          <w:rFonts w:cs="Arial"/>
          <w:b w:val="0"/>
          <w:sz w:val="24"/>
          <w:szCs w:val="24"/>
          <w14:cntxtAlts/>
        </w:rPr>
        <w:t>T</w:t>
      </w:r>
      <w:r w:rsidR="006B364A" w:rsidRPr="003411DD">
        <w:rPr>
          <w:rStyle w:val="Strong"/>
          <w:rFonts w:cs="Arial"/>
          <w:b w:val="0"/>
          <w:sz w:val="24"/>
          <w:szCs w:val="24"/>
          <w14:cntxtAlts/>
        </w:rPr>
        <w:t xml:space="preserve">he </w:t>
      </w:r>
      <w:r w:rsidR="0077450E">
        <w:rPr>
          <w:rStyle w:val="Strong"/>
          <w:rFonts w:cs="Arial"/>
          <w:b w:val="0"/>
          <w:sz w:val="24"/>
          <w:szCs w:val="24"/>
          <w14:cntxtAlts/>
        </w:rPr>
        <w:t>P</w:t>
      </w:r>
      <w:r w:rsidR="006B364A">
        <w:rPr>
          <w:rStyle w:val="Strong"/>
          <w:rFonts w:cs="Arial"/>
          <w:b w:val="0"/>
          <w:sz w:val="24"/>
          <w:szCs w:val="24"/>
          <w14:cntxtAlts/>
        </w:rPr>
        <w:t xml:space="preserve">anel confirmed </w:t>
      </w:r>
      <w:r w:rsidR="00447E09">
        <w:rPr>
          <w:rStyle w:val="Strong"/>
          <w:rFonts w:cs="Arial"/>
          <w:b w:val="0"/>
          <w:sz w:val="24"/>
          <w:szCs w:val="24"/>
          <w14:cntxtAlts/>
        </w:rPr>
        <w:t xml:space="preserve">that </w:t>
      </w:r>
      <w:r w:rsidR="006A3E72">
        <w:rPr>
          <w:rStyle w:val="Strong"/>
          <w:rFonts w:cs="Arial"/>
          <w:b w:val="0"/>
          <w:sz w:val="24"/>
          <w:szCs w:val="24"/>
          <w14:cntxtAlts/>
        </w:rPr>
        <w:t xml:space="preserve">as a result </w:t>
      </w:r>
      <w:r w:rsidR="006B364A">
        <w:rPr>
          <w:rStyle w:val="Strong"/>
          <w:rFonts w:cs="Arial"/>
          <w:b w:val="0"/>
          <w:sz w:val="24"/>
          <w:szCs w:val="24"/>
          <w14:cntxtAlts/>
        </w:rPr>
        <w:t xml:space="preserve">the </w:t>
      </w:r>
      <w:r w:rsidR="006B364A" w:rsidRPr="003411DD">
        <w:rPr>
          <w:rStyle w:val="Strong"/>
          <w:rFonts w:cs="Arial"/>
          <w:b w:val="0"/>
          <w:sz w:val="24"/>
          <w:szCs w:val="24"/>
          <w14:cntxtAlts/>
        </w:rPr>
        <w:t>overall rating for the service</w:t>
      </w:r>
      <w:r w:rsidR="0077450E">
        <w:rPr>
          <w:rStyle w:val="Strong"/>
          <w:rFonts w:cs="Arial"/>
          <w:b w:val="0"/>
          <w:sz w:val="24"/>
          <w:szCs w:val="24"/>
          <w14:cntxtAlts/>
        </w:rPr>
        <w:t xml:space="preserve"> </w:t>
      </w:r>
      <w:r w:rsidR="00623144">
        <w:rPr>
          <w:rStyle w:val="Strong"/>
          <w:rFonts w:cs="Arial"/>
          <w:b w:val="0"/>
          <w:sz w:val="24"/>
          <w:szCs w:val="24"/>
          <w14:cntxtAlts/>
        </w:rPr>
        <w:t xml:space="preserve">is amended to </w:t>
      </w:r>
      <w:r w:rsidR="00623144">
        <w:rPr>
          <w:rFonts w:cs="Arial"/>
          <w:sz w:val="24"/>
          <w:szCs w:val="24"/>
          <w14:cntxtAlts/>
        </w:rPr>
        <w:t>‘</w:t>
      </w:r>
      <w:r w:rsidR="00623144">
        <w:rPr>
          <w:sz w:val="24"/>
          <w:szCs w:val="24"/>
        </w:rPr>
        <w:t>Exceeding </w:t>
      </w:r>
      <w:r w:rsidR="00623144" w:rsidRPr="00623144">
        <w:rPr>
          <w:sz w:val="24"/>
          <w:szCs w:val="24"/>
        </w:rPr>
        <w:t>NQS</w:t>
      </w:r>
      <w:r w:rsidR="00623144">
        <w:rPr>
          <w:sz w:val="24"/>
          <w:szCs w:val="24"/>
        </w:rPr>
        <w:t>’</w:t>
      </w:r>
      <w:r w:rsidR="006B364A" w:rsidRPr="003411DD">
        <w:rPr>
          <w:rFonts w:cs="Arial"/>
          <w:sz w:val="24"/>
          <w:szCs w:val="24"/>
          <w14:cntxtAlts/>
        </w:rPr>
        <w:t>.</w:t>
      </w:r>
    </w:p>
    <w:p w:rsidR="004C0DC9" w:rsidRPr="003411DD" w:rsidRDefault="0074689B" w:rsidP="00717F33">
      <w:pPr>
        <w:pStyle w:val="ListNumber"/>
        <w:numPr>
          <w:ilvl w:val="0"/>
          <w:numId w:val="0"/>
        </w:numPr>
        <w:pBdr>
          <w:bottom w:val="single" w:sz="4" w:space="2" w:color="auto"/>
        </w:pBdr>
        <w:rPr>
          <w14:cntxtAlts/>
        </w:rPr>
      </w:pPr>
      <w:r>
        <w:rPr>
          <w14:cntxtAlts/>
        </w:rPr>
        <w:t xml:space="preserve"> </w:t>
      </w:r>
    </w:p>
    <w:p w:rsidR="0074689B" w:rsidRPr="002741E5" w:rsidRDefault="00B057CB" w:rsidP="00717F33">
      <w:pPr>
        <w:spacing w:before="0" w:after="0" w:line="240" w:lineRule="auto"/>
        <w:rPr>
          <w:rFonts w:cs="Arial"/>
          <w:b/>
          <w:sz w:val="28"/>
          <w:szCs w:val="28"/>
          <w14:cntxtAlts/>
        </w:rPr>
      </w:pPr>
      <w:r w:rsidRPr="00D12D05">
        <w:rPr>
          <w:rFonts w:cs="Arial"/>
          <w:b/>
          <w:sz w:val="28"/>
          <w:szCs w:val="28"/>
          <w14:cntxtAlts/>
        </w:rPr>
        <w:t>Issues under review</w:t>
      </w:r>
    </w:p>
    <w:p w:rsidR="0085687B" w:rsidRPr="004D6819" w:rsidRDefault="00C93CCF" w:rsidP="004D6819">
      <w:pPr>
        <w:pStyle w:val="ListParagraph"/>
        <w:numPr>
          <w:ilvl w:val="0"/>
          <w:numId w:val="2"/>
        </w:numPr>
        <w:spacing w:before="0" w:after="0"/>
        <w:rPr>
          <w:sz w:val="24"/>
          <w:szCs w:val="24"/>
        </w:rPr>
      </w:pPr>
      <w:r w:rsidRPr="006925C0">
        <w:rPr>
          <w:sz w:val="24"/>
          <w:szCs w:val="24"/>
        </w:rPr>
        <w:t xml:space="preserve">The approved provider </w:t>
      </w:r>
      <w:r>
        <w:rPr>
          <w:sz w:val="24"/>
          <w:szCs w:val="24"/>
        </w:rPr>
        <w:t xml:space="preserve">(the provider) </w:t>
      </w:r>
      <w:r w:rsidR="002D3D61">
        <w:rPr>
          <w:sz w:val="24"/>
          <w:szCs w:val="24"/>
        </w:rPr>
        <w:t>sought</w:t>
      </w:r>
      <w:r>
        <w:rPr>
          <w:sz w:val="24"/>
          <w:szCs w:val="24"/>
        </w:rPr>
        <w:t xml:space="preserve"> a review on the grounds that </w:t>
      </w:r>
      <w:r w:rsidRPr="00A15BEF">
        <w:rPr>
          <w:sz w:val="24"/>
          <w:szCs w:val="24"/>
        </w:rPr>
        <w:t>the regulatory authority</w:t>
      </w:r>
      <w:r w:rsidR="00254276">
        <w:rPr>
          <w:sz w:val="24"/>
          <w:szCs w:val="24"/>
        </w:rPr>
        <w:t>,</w:t>
      </w:r>
      <w:r w:rsidRPr="00A15BEF">
        <w:rPr>
          <w:sz w:val="24"/>
          <w:szCs w:val="24"/>
        </w:rPr>
        <w:t xml:space="preserve"> in making its determination, failed to take into account or give sufficient weight to </w:t>
      </w:r>
      <w:r>
        <w:rPr>
          <w:sz w:val="24"/>
          <w:szCs w:val="24"/>
        </w:rPr>
        <w:t xml:space="preserve">special circumstances </w:t>
      </w:r>
      <w:r w:rsidR="00254276">
        <w:rPr>
          <w:sz w:val="24"/>
          <w:szCs w:val="24"/>
        </w:rPr>
        <w:t xml:space="preserve">existing or </w:t>
      </w:r>
      <w:r w:rsidRPr="00A15BEF">
        <w:rPr>
          <w:sz w:val="24"/>
          <w:szCs w:val="24"/>
        </w:rPr>
        <w:t>facts existing at the time of the rating assessm</w:t>
      </w:r>
      <w:r>
        <w:rPr>
          <w:sz w:val="24"/>
          <w:szCs w:val="24"/>
        </w:rPr>
        <w:t xml:space="preserve">ent (section 144(3)(b) </w:t>
      </w:r>
      <w:r w:rsidRPr="0085687B">
        <w:rPr>
          <w:sz w:val="24"/>
          <w:szCs w:val="24"/>
        </w:rPr>
        <w:t>Education and Care Services National Law (National Law)</w:t>
      </w:r>
      <w:r w:rsidRPr="00DB5F05">
        <w:rPr>
          <w:sz w:val="24"/>
          <w:szCs w:val="24"/>
        </w:rPr>
        <w:t>).</w:t>
      </w:r>
    </w:p>
    <w:p w:rsidR="00C93CCF" w:rsidRDefault="00C93CCF" w:rsidP="00717F33">
      <w:pPr>
        <w:pStyle w:val="ListParagraph"/>
        <w:spacing w:before="0" w:after="0" w:line="240" w:lineRule="auto"/>
        <w:contextualSpacing w:val="0"/>
        <w:rPr>
          <w:sz w:val="24"/>
          <w:szCs w:val="24"/>
        </w:rPr>
      </w:pPr>
    </w:p>
    <w:p w:rsidR="00C93CCF" w:rsidRPr="009A175F" w:rsidRDefault="00C93CCF" w:rsidP="00717F33">
      <w:pPr>
        <w:pStyle w:val="ListParagraph"/>
        <w:numPr>
          <w:ilvl w:val="0"/>
          <w:numId w:val="2"/>
        </w:numPr>
        <w:spacing w:before="0" w:after="0" w:line="240" w:lineRule="auto"/>
        <w:contextualSpacing w:val="0"/>
        <w:rPr>
          <w:sz w:val="24"/>
          <w:szCs w:val="24"/>
        </w:rPr>
      </w:pPr>
      <w:r w:rsidRPr="009A175F">
        <w:rPr>
          <w:sz w:val="24"/>
          <w:szCs w:val="24"/>
        </w:rPr>
        <w:t>The</w:t>
      </w:r>
      <w:r w:rsidR="00783D15">
        <w:rPr>
          <w:sz w:val="24"/>
          <w:szCs w:val="24"/>
        </w:rPr>
        <w:t xml:space="preserve"> </w:t>
      </w:r>
      <w:r>
        <w:rPr>
          <w:sz w:val="24"/>
          <w:szCs w:val="24"/>
        </w:rPr>
        <w:t>provider</w:t>
      </w:r>
      <w:r w:rsidRPr="009A175F">
        <w:rPr>
          <w:sz w:val="24"/>
          <w:szCs w:val="24"/>
        </w:rPr>
        <w:t xml:space="preserve"> </w:t>
      </w:r>
      <w:r>
        <w:rPr>
          <w:sz w:val="24"/>
          <w:szCs w:val="24"/>
        </w:rPr>
        <w:t>sought</w:t>
      </w:r>
      <w:r w:rsidRPr="009A175F">
        <w:rPr>
          <w:sz w:val="24"/>
          <w:szCs w:val="24"/>
        </w:rPr>
        <w:t xml:space="preserve"> </w:t>
      </w:r>
      <w:r>
        <w:rPr>
          <w:sz w:val="24"/>
          <w:szCs w:val="24"/>
        </w:rPr>
        <w:t xml:space="preserve">a </w:t>
      </w:r>
      <w:r w:rsidRPr="009A175F">
        <w:rPr>
          <w:sz w:val="24"/>
          <w:szCs w:val="24"/>
        </w:rPr>
        <w:t>review of the following:</w:t>
      </w:r>
    </w:p>
    <w:p w:rsidR="0085687B" w:rsidRDefault="0085687B" w:rsidP="0085687B">
      <w:pPr>
        <w:pStyle w:val="ListParagraph"/>
        <w:numPr>
          <w:ilvl w:val="1"/>
          <w:numId w:val="2"/>
        </w:numPr>
        <w:rPr>
          <w:sz w:val="24"/>
          <w:szCs w:val="24"/>
        </w:rPr>
      </w:pPr>
      <w:r>
        <w:rPr>
          <w:sz w:val="24"/>
          <w:szCs w:val="24"/>
        </w:rPr>
        <w:t>Quality Area 6, in particular, standard 6.1.</w:t>
      </w:r>
    </w:p>
    <w:p w:rsidR="00C3434B" w:rsidRPr="00D65915" w:rsidRDefault="00C3434B" w:rsidP="00D65915">
      <w:pPr>
        <w:spacing w:before="0" w:after="0" w:line="240" w:lineRule="auto"/>
        <w:rPr>
          <w:rFonts w:cs="Arial"/>
          <w:b/>
          <w:sz w:val="24"/>
          <w:szCs w:val="24"/>
          <w14:cntxtAlts/>
        </w:rPr>
      </w:pPr>
      <w:r w:rsidRPr="00D65915">
        <w:rPr>
          <w:rFonts w:cs="Arial"/>
          <w:b/>
          <w:sz w:val="24"/>
          <w:szCs w:val="24"/>
          <w14:cntxtAlts/>
        </w:rPr>
        <w:t>Applicant’s view</w:t>
      </w:r>
    </w:p>
    <w:p w:rsidR="00C93CCF" w:rsidRPr="006925C0" w:rsidRDefault="00C93CCF" w:rsidP="00717F33">
      <w:pPr>
        <w:pStyle w:val="ListParagraph"/>
        <w:spacing w:before="0" w:after="0" w:line="240" w:lineRule="auto"/>
        <w:contextualSpacing w:val="0"/>
        <w:rPr>
          <w:sz w:val="24"/>
          <w:szCs w:val="24"/>
        </w:rPr>
      </w:pPr>
    </w:p>
    <w:p w:rsidR="0085687B" w:rsidRDefault="0085687B" w:rsidP="0085687B">
      <w:pPr>
        <w:pStyle w:val="ListParagraph"/>
        <w:numPr>
          <w:ilvl w:val="0"/>
          <w:numId w:val="2"/>
        </w:numPr>
        <w:spacing w:before="0" w:after="0"/>
        <w:rPr>
          <w:sz w:val="24"/>
          <w:szCs w:val="24"/>
        </w:rPr>
      </w:pPr>
      <w:r w:rsidRPr="00BD02C1">
        <w:rPr>
          <w:sz w:val="24"/>
          <w:szCs w:val="24"/>
        </w:rPr>
        <w:t xml:space="preserve">After the </w:t>
      </w:r>
      <w:r w:rsidR="00C3434B">
        <w:rPr>
          <w:sz w:val="24"/>
          <w:szCs w:val="24"/>
        </w:rPr>
        <w:t>first tier review</w:t>
      </w:r>
      <w:r w:rsidRPr="00BD02C1">
        <w:rPr>
          <w:sz w:val="24"/>
          <w:szCs w:val="24"/>
        </w:rPr>
        <w:t xml:space="preserve">, the service was rated </w:t>
      </w:r>
      <w:r w:rsidR="00C3434B">
        <w:rPr>
          <w:sz w:val="24"/>
          <w:szCs w:val="24"/>
        </w:rPr>
        <w:t xml:space="preserve">overall as </w:t>
      </w:r>
      <w:r w:rsidRPr="00BD02C1">
        <w:rPr>
          <w:sz w:val="24"/>
          <w:szCs w:val="24"/>
        </w:rPr>
        <w:t>‘</w:t>
      </w:r>
      <w:r w:rsidR="00C3434B">
        <w:rPr>
          <w:sz w:val="24"/>
          <w:szCs w:val="24"/>
        </w:rPr>
        <w:t xml:space="preserve">Meeting </w:t>
      </w:r>
      <w:r w:rsidRPr="00BD02C1">
        <w:rPr>
          <w:sz w:val="24"/>
          <w:szCs w:val="24"/>
        </w:rPr>
        <w:t>NQS’</w:t>
      </w:r>
      <w:r w:rsidR="00C3434B">
        <w:rPr>
          <w:sz w:val="24"/>
          <w:szCs w:val="24"/>
        </w:rPr>
        <w:t xml:space="preserve"> with </w:t>
      </w:r>
      <w:r w:rsidRPr="00BD02C1">
        <w:rPr>
          <w:sz w:val="24"/>
          <w:szCs w:val="24"/>
        </w:rPr>
        <w:t>Quality Areas 1, 2 and 6</w:t>
      </w:r>
      <w:r w:rsidR="00C3434B">
        <w:rPr>
          <w:sz w:val="24"/>
          <w:szCs w:val="24"/>
        </w:rPr>
        <w:t xml:space="preserve"> and 7 rated ‘Meeting NQS</w:t>
      </w:r>
      <w:r w:rsidRPr="00BD02C1">
        <w:rPr>
          <w:sz w:val="24"/>
          <w:szCs w:val="24"/>
        </w:rPr>
        <w:t xml:space="preserve">, and </w:t>
      </w:r>
      <w:r w:rsidR="00C3434B">
        <w:rPr>
          <w:sz w:val="24"/>
          <w:szCs w:val="24"/>
        </w:rPr>
        <w:t xml:space="preserve">Quality Ares 3, 4 and 5 rated </w:t>
      </w:r>
      <w:r w:rsidRPr="00BD02C1">
        <w:rPr>
          <w:sz w:val="24"/>
          <w:szCs w:val="24"/>
        </w:rPr>
        <w:t xml:space="preserve">‘Exceeding NQS’. </w:t>
      </w:r>
    </w:p>
    <w:p w:rsidR="0085687B" w:rsidRDefault="0085687B" w:rsidP="0085687B">
      <w:pPr>
        <w:pStyle w:val="ListParagraph"/>
        <w:spacing w:before="0" w:after="0"/>
        <w:ind w:left="680"/>
        <w:rPr>
          <w:sz w:val="24"/>
          <w:szCs w:val="24"/>
        </w:rPr>
      </w:pPr>
    </w:p>
    <w:p w:rsidR="0085687B" w:rsidRPr="00481993" w:rsidRDefault="0085687B" w:rsidP="00481993">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 xml:space="preserve">The provider states in its application for second tier review that it believes the assessing authorised officer (the assessor) failed to give sufficient weight to evidence available at the time of the assessment, particularly in relation to element 6.1.3. The provider is of the view that the evidence available supports </w:t>
      </w:r>
      <w:r w:rsidRPr="00481993">
        <w:rPr>
          <w:rFonts w:cs="Arial"/>
          <w:color w:val="000000"/>
          <w:sz w:val="24"/>
          <w:szCs w:val="24"/>
        </w:rPr>
        <w:lastRenderedPageBreak/>
        <w:t xml:space="preserve">a rating of ‘Exceeding NQS’ for standard 6.1. Furthermore, the provider claims that a precedent has been set for an ‘Exceeding NQS’ </w:t>
      </w:r>
      <w:r w:rsidR="00C207BB">
        <w:rPr>
          <w:rFonts w:cs="Arial"/>
          <w:color w:val="000000"/>
          <w:sz w:val="24"/>
          <w:szCs w:val="24"/>
        </w:rPr>
        <w:t>rating, as its ‘sister centre’</w:t>
      </w:r>
      <w:r w:rsidRPr="00481993">
        <w:rPr>
          <w:rFonts w:cs="Arial"/>
          <w:color w:val="000000"/>
          <w:sz w:val="24"/>
          <w:szCs w:val="24"/>
        </w:rPr>
        <w:t xml:space="preserve"> was rated as ‘Exceeding NQS’ for standard 6.1 based on similar evidence that it has provided.</w:t>
      </w:r>
    </w:p>
    <w:p w:rsidR="0085687B" w:rsidRPr="00FF6ED2" w:rsidRDefault="0085687B" w:rsidP="0085687B">
      <w:pPr>
        <w:pStyle w:val="ListParagraph"/>
        <w:rPr>
          <w:sz w:val="24"/>
          <w:szCs w:val="24"/>
        </w:rPr>
      </w:pPr>
    </w:p>
    <w:p w:rsidR="00542937" w:rsidRPr="00D12D05" w:rsidRDefault="00B057CB" w:rsidP="00717F33">
      <w:pPr>
        <w:spacing w:before="0" w:after="0" w:line="240" w:lineRule="auto"/>
        <w:rPr>
          <w:rFonts w:cs="Arial"/>
          <w:b/>
          <w:sz w:val="28"/>
          <w:szCs w:val="28"/>
          <w14:cntxtAlts/>
        </w:rPr>
      </w:pPr>
      <w:r w:rsidRPr="00D12D05">
        <w:rPr>
          <w:rFonts w:cs="Arial"/>
          <w:b/>
          <w:sz w:val="28"/>
          <w:szCs w:val="28"/>
          <w14:cntxtAlts/>
        </w:rPr>
        <w:t>Evidence before the panel</w:t>
      </w:r>
    </w:p>
    <w:p w:rsidR="00B057CB" w:rsidRPr="00481993" w:rsidRDefault="00627933" w:rsidP="00481993">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The P</w:t>
      </w:r>
      <w:r w:rsidR="00B057CB" w:rsidRPr="00481993">
        <w:rPr>
          <w:rFonts w:cs="Arial"/>
          <w:color w:val="000000"/>
          <w:sz w:val="24"/>
          <w:szCs w:val="24"/>
        </w:rPr>
        <w:t xml:space="preserve">anel considered all the evidence </w:t>
      </w:r>
      <w:r w:rsidR="001D1971" w:rsidRPr="00481993">
        <w:rPr>
          <w:rFonts w:cs="Arial"/>
          <w:color w:val="000000"/>
          <w:sz w:val="24"/>
          <w:szCs w:val="24"/>
        </w:rPr>
        <w:t xml:space="preserve">submitted </w:t>
      </w:r>
      <w:r w:rsidR="00B057CB" w:rsidRPr="00481993">
        <w:rPr>
          <w:rFonts w:cs="Arial"/>
          <w:color w:val="000000"/>
          <w:sz w:val="24"/>
          <w:szCs w:val="24"/>
        </w:rPr>
        <w:t xml:space="preserve">by the </w:t>
      </w:r>
      <w:r w:rsidRPr="00481993">
        <w:rPr>
          <w:rFonts w:cs="Arial"/>
          <w:color w:val="000000"/>
          <w:sz w:val="24"/>
          <w:szCs w:val="24"/>
        </w:rPr>
        <w:t xml:space="preserve">provider </w:t>
      </w:r>
      <w:r w:rsidR="00B057CB" w:rsidRPr="00481993">
        <w:rPr>
          <w:rFonts w:cs="Arial"/>
          <w:color w:val="000000"/>
          <w:sz w:val="24"/>
          <w:szCs w:val="24"/>
        </w:rPr>
        <w:t>and the regulatory authority. This included:</w:t>
      </w:r>
    </w:p>
    <w:p w:rsidR="00793E34" w:rsidRPr="00627933" w:rsidRDefault="00793E34" w:rsidP="00717F33">
      <w:pPr>
        <w:pStyle w:val="ListParagraph"/>
        <w:numPr>
          <w:ilvl w:val="0"/>
          <w:numId w:val="4"/>
        </w:numPr>
        <w:spacing w:before="0" w:after="0" w:line="240" w:lineRule="auto"/>
        <w:contextualSpacing w:val="0"/>
        <w:rPr>
          <w:rFonts w:cs="Arial"/>
          <w:sz w:val="24"/>
          <w:szCs w:val="24"/>
          <w14:cntxtAlts/>
        </w:rPr>
      </w:pPr>
      <w:r w:rsidRPr="00627933">
        <w:rPr>
          <w:rFonts w:cs="Arial"/>
          <w:sz w:val="24"/>
          <w:szCs w:val="24"/>
          <w14:cntxtAlts/>
        </w:rPr>
        <w:t xml:space="preserve">the application for second </w:t>
      </w:r>
      <w:r w:rsidR="00332E02">
        <w:rPr>
          <w:rFonts w:cs="Arial"/>
          <w:sz w:val="24"/>
          <w:szCs w:val="24"/>
          <w14:cntxtAlts/>
        </w:rPr>
        <w:t>tier review and its attachments</w:t>
      </w:r>
    </w:p>
    <w:p w:rsidR="00B057CB" w:rsidRPr="00627933" w:rsidRDefault="00793E34" w:rsidP="00717F33">
      <w:pPr>
        <w:pStyle w:val="ListParagraph"/>
        <w:numPr>
          <w:ilvl w:val="0"/>
          <w:numId w:val="4"/>
        </w:numPr>
        <w:spacing w:before="0" w:after="0" w:line="240" w:lineRule="auto"/>
        <w:contextualSpacing w:val="0"/>
        <w:rPr>
          <w:rFonts w:cs="Arial"/>
          <w:sz w:val="24"/>
          <w:szCs w:val="24"/>
          <w14:cntxtAlts/>
        </w:rPr>
      </w:pPr>
      <w:r w:rsidRPr="00627933">
        <w:rPr>
          <w:rFonts w:cs="Arial"/>
          <w:sz w:val="24"/>
          <w:szCs w:val="24"/>
          <w14:cntxtAlts/>
        </w:rPr>
        <w:t xml:space="preserve">the </w:t>
      </w:r>
      <w:r w:rsidR="00627933">
        <w:rPr>
          <w:rFonts w:cs="Arial"/>
          <w:sz w:val="24"/>
          <w:szCs w:val="24"/>
          <w14:cntxtAlts/>
        </w:rPr>
        <w:t>Assessment and Rating I</w:t>
      </w:r>
      <w:r w:rsidR="00E16579" w:rsidRPr="00627933">
        <w:rPr>
          <w:rFonts w:cs="Arial"/>
          <w:sz w:val="24"/>
          <w:szCs w:val="24"/>
          <w14:cntxtAlts/>
        </w:rPr>
        <w:t>nstrument</w:t>
      </w:r>
      <w:r w:rsidR="00332E02">
        <w:rPr>
          <w:rFonts w:cs="Arial"/>
          <w:sz w:val="24"/>
          <w:szCs w:val="24"/>
          <w14:cntxtAlts/>
        </w:rPr>
        <w:t xml:space="preserve"> (the Instrument</w:t>
      </w:r>
      <w:r w:rsidR="00E0495E">
        <w:rPr>
          <w:rFonts w:cs="Arial"/>
          <w:sz w:val="24"/>
          <w:szCs w:val="24"/>
          <w14:cntxtAlts/>
        </w:rPr>
        <w:t>)</w:t>
      </w:r>
      <w:r w:rsidRPr="00627933">
        <w:rPr>
          <w:rFonts w:cs="Arial"/>
          <w:sz w:val="24"/>
          <w:szCs w:val="24"/>
          <w14:cntxtAlts/>
        </w:rPr>
        <w:t xml:space="preserve"> and </w:t>
      </w:r>
      <w:r w:rsidR="00633F04">
        <w:rPr>
          <w:rFonts w:cs="Arial"/>
          <w:sz w:val="24"/>
          <w:szCs w:val="24"/>
          <w14:cntxtAlts/>
        </w:rPr>
        <w:t xml:space="preserve">the </w:t>
      </w:r>
      <w:r w:rsidR="00627933">
        <w:rPr>
          <w:rFonts w:cs="Arial"/>
          <w:sz w:val="24"/>
          <w:szCs w:val="24"/>
          <w14:cntxtAlts/>
        </w:rPr>
        <w:t>final Assessment and Rating R</w:t>
      </w:r>
      <w:r w:rsidR="00E16579" w:rsidRPr="00627933">
        <w:rPr>
          <w:rFonts w:cs="Arial"/>
          <w:sz w:val="24"/>
          <w:szCs w:val="24"/>
          <w14:cntxtAlts/>
        </w:rPr>
        <w:t>eport</w:t>
      </w:r>
      <w:r w:rsidR="00E0495E">
        <w:rPr>
          <w:rFonts w:cs="Arial"/>
          <w:sz w:val="24"/>
          <w:szCs w:val="24"/>
          <w14:cntxtAlts/>
        </w:rPr>
        <w:t xml:space="preserve"> (final Report)</w:t>
      </w:r>
    </w:p>
    <w:p w:rsidR="00793E34" w:rsidRDefault="00627933" w:rsidP="00717F33">
      <w:pPr>
        <w:pStyle w:val="ListParagraph"/>
        <w:numPr>
          <w:ilvl w:val="0"/>
          <w:numId w:val="4"/>
        </w:numPr>
        <w:spacing w:before="0" w:after="0" w:line="240" w:lineRule="auto"/>
        <w:contextualSpacing w:val="0"/>
        <w:rPr>
          <w:rFonts w:cs="Arial"/>
          <w:sz w:val="24"/>
          <w:szCs w:val="24"/>
          <w14:cntxtAlts/>
        </w:rPr>
      </w:pPr>
      <w:r>
        <w:rPr>
          <w:rFonts w:cs="Arial"/>
          <w:sz w:val="24"/>
          <w:szCs w:val="24"/>
          <w14:cntxtAlts/>
        </w:rPr>
        <w:t xml:space="preserve">the </w:t>
      </w:r>
      <w:r w:rsidR="00793E34" w:rsidRPr="00627933">
        <w:rPr>
          <w:rFonts w:cs="Arial"/>
          <w:sz w:val="24"/>
          <w:szCs w:val="24"/>
          <w14:cntxtAlts/>
        </w:rPr>
        <w:t>re</w:t>
      </w:r>
      <w:r w:rsidR="00B75306">
        <w:rPr>
          <w:rFonts w:cs="Arial"/>
          <w:sz w:val="24"/>
          <w:szCs w:val="24"/>
          <w14:cntxtAlts/>
        </w:rPr>
        <w:t>gulatory authority’s findings at</w:t>
      </w:r>
      <w:r w:rsidR="00793E34" w:rsidRPr="00627933">
        <w:rPr>
          <w:rFonts w:cs="Arial"/>
          <w:sz w:val="24"/>
          <w:szCs w:val="24"/>
          <w14:cntxtAlts/>
        </w:rPr>
        <w:t xml:space="preserve"> first tier review</w:t>
      </w:r>
    </w:p>
    <w:p w:rsidR="00C7342B" w:rsidRPr="00627933" w:rsidRDefault="00C7342B" w:rsidP="00717F33">
      <w:pPr>
        <w:pStyle w:val="ListParagraph"/>
        <w:numPr>
          <w:ilvl w:val="0"/>
          <w:numId w:val="4"/>
        </w:numPr>
        <w:spacing w:before="0" w:after="0" w:line="240" w:lineRule="auto"/>
        <w:contextualSpacing w:val="0"/>
        <w:rPr>
          <w:rFonts w:cs="Arial"/>
          <w:sz w:val="24"/>
          <w:szCs w:val="24"/>
          <w14:cntxtAlts/>
        </w:rPr>
      </w:pPr>
      <w:r>
        <w:rPr>
          <w:rFonts w:cs="Arial"/>
          <w:sz w:val="24"/>
          <w:szCs w:val="24"/>
          <w14:cntxtAlts/>
        </w:rPr>
        <w:t>the regulatory authority’s submissions for second tier review</w:t>
      </w:r>
    </w:p>
    <w:p w:rsidR="00AB74E2" w:rsidRDefault="00480DDF" w:rsidP="00717F33">
      <w:pPr>
        <w:pStyle w:val="ListParagraph"/>
        <w:numPr>
          <w:ilvl w:val="0"/>
          <w:numId w:val="4"/>
        </w:numPr>
        <w:spacing w:before="0" w:after="0" w:line="240" w:lineRule="auto"/>
        <w:contextualSpacing w:val="0"/>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response from the provider to the regulatory authority’s </w:t>
      </w:r>
      <w:r w:rsidR="00627933">
        <w:rPr>
          <w:rFonts w:cs="Arial"/>
          <w:sz w:val="24"/>
          <w:szCs w:val="24"/>
          <w14:cntxtAlts/>
        </w:rPr>
        <w:t>submissions</w:t>
      </w:r>
      <w:r w:rsidR="00C7342B">
        <w:rPr>
          <w:rFonts w:cs="Arial"/>
          <w:sz w:val="24"/>
          <w:szCs w:val="24"/>
          <w14:cntxtAlts/>
        </w:rPr>
        <w:t xml:space="preserve"> for second tier review.</w:t>
      </w:r>
    </w:p>
    <w:p w:rsidR="00A13EBF" w:rsidRPr="00A13EBF" w:rsidRDefault="00A13EBF" w:rsidP="00717F33">
      <w:pPr>
        <w:spacing w:before="0" w:after="0" w:line="240" w:lineRule="auto"/>
        <w:ind w:left="1080"/>
        <w:rPr>
          <w:rFonts w:cs="Arial"/>
          <w:sz w:val="24"/>
          <w:szCs w:val="24"/>
          <w14:cntxtAlts/>
        </w:rPr>
      </w:pPr>
    </w:p>
    <w:p w:rsidR="003A54EB" w:rsidRDefault="00B057CB" w:rsidP="00332E02">
      <w:pPr>
        <w:pStyle w:val="ListParagraph"/>
        <w:numPr>
          <w:ilvl w:val="0"/>
          <w:numId w:val="2"/>
        </w:numPr>
        <w:spacing w:before="0" w:after="0"/>
        <w:rPr>
          <w:sz w:val="24"/>
          <w:szCs w:val="24"/>
        </w:rPr>
      </w:pPr>
      <w:r w:rsidRPr="00274F70">
        <w:rPr>
          <w:sz w:val="24"/>
          <w:szCs w:val="24"/>
        </w:rPr>
        <w:t>The</w:t>
      </w:r>
      <w:r w:rsidR="00490470">
        <w:rPr>
          <w:sz w:val="24"/>
          <w:szCs w:val="24"/>
        </w:rPr>
        <w:t xml:space="preserve"> P</w:t>
      </w:r>
      <w:r w:rsidRPr="00274F70">
        <w:rPr>
          <w:sz w:val="24"/>
          <w:szCs w:val="24"/>
        </w:rPr>
        <w:t>anel was also provided wit</w:t>
      </w:r>
      <w:r w:rsidR="008369B7" w:rsidRPr="00274F70">
        <w:rPr>
          <w:sz w:val="24"/>
          <w:szCs w:val="24"/>
        </w:rPr>
        <w:t xml:space="preserve">h advice from ACECQA on </w:t>
      </w:r>
      <w:r w:rsidR="00793E34" w:rsidRPr="00274F70">
        <w:rPr>
          <w:sz w:val="24"/>
          <w:szCs w:val="24"/>
        </w:rPr>
        <w:t xml:space="preserve">the </w:t>
      </w:r>
      <w:r w:rsidR="00027A91" w:rsidRPr="00274F70">
        <w:rPr>
          <w:sz w:val="24"/>
          <w:szCs w:val="24"/>
        </w:rPr>
        <w:t>Q</w:t>
      </w:r>
      <w:r w:rsidR="00793E34" w:rsidRPr="00274F70">
        <w:rPr>
          <w:sz w:val="24"/>
          <w:szCs w:val="24"/>
        </w:rPr>
        <w:t xml:space="preserve">uality </w:t>
      </w:r>
      <w:r w:rsidR="00027A91" w:rsidRPr="00274F70">
        <w:rPr>
          <w:sz w:val="24"/>
          <w:szCs w:val="24"/>
        </w:rPr>
        <w:t>A</w:t>
      </w:r>
      <w:r w:rsidR="00332E02">
        <w:rPr>
          <w:sz w:val="24"/>
          <w:szCs w:val="24"/>
        </w:rPr>
        <w:t>rea</w:t>
      </w:r>
      <w:r w:rsidR="002615DC" w:rsidRPr="00274F70">
        <w:rPr>
          <w:sz w:val="24"/>
          <w:szCs w:val="24"/>
        </w:rPr>
        <w:t xml:space="preserve"> under review</w:t>
      </w:r>
      <w:r w:rsidR="00793E34" w:rsidRPr="00274F70">
        <w:rPr>
          <w:sz w:val="24"/>
          <w:szCs w:val="24"/>
        </w:rPr>
        <w:t>.</w:t>
      </w:r>
    </w:p>
    <w:p w:rsidR="003E1EFD" w:rsidRPr="002741E5" w:rsidRDefault="003E1EFD" w:rsidP="00717F33">
      <w:pPr>
        <w:pStyle w:val="ListParagraph"/>
        <w:spacing w:before="0" w:after="0" w:line="240" w:lineRule="auto"/>
        <w:ind w:left="680"/>
        <w:contextualSpacing w:val="0"/>
        <w:rPr>
          <w:sz w:val="24"/>
          <w:szCs w:val="24"/>
        </w:rPr>
      </w:pPr>
    </w:p>
    <w:p w:rsidR="007A3A9B" w:rsidRPr="00D12D05" w:rsidRDefault="00B057CB" w:rsidP="00717F33">
      <w:pPr>
        <w:spacing w:before="0" w:after="0" w:line="240" w:lineRule="auto"/>
        <w:rPr>
          <w:rFonts w:cs="Arial"/>
          <w:b/>
          <w:sz w:val="28"/>
          <w:szCs w:val="28"/>
          <w14:cntxtAlts/>
        </w:rPr>
      </w:pPr>
      <w:r w:rsidRPr="00D12D05">
        <w:rPr>
          <w:rFonts w:cs="Arial"/>
          <w:b/>
          <w:sz w:val="28"/>
          <w:szCs w:val="28"/>
          <w14:cntxtAlts/>
        </w:rPr>
        <w:t xml:space="preserve">The </w:t>
      </w:r>
      <w:r w:rsidR="00027A91" w:rsidRPr="00D12D05">
        <w:rPr>
          <w:rFonts w:cs="Arial"/>
          <w:b/>
          <w:sz w:val="28"/>
          <w:szCs w:val="28"/>
          <w14:cntxtAlts/>
        </w:rPr>
        <w:t>l</w:t>
      </w:r>
      <w:r w:rsidRPr="00D12D05">
        <w:rPr>
          <w:rFonts w:cs="Arial"/>
          <w:b/>
          <w:sz w:val="28"/>
          <w:szCs w:val="28"/>
          <w14:cntxtAlts/>
        </w:rPr>
        <w:t>aw</w:t>
      </w:r>
    </w:p>
    <w:p w:rsidR="00793E34" w:rsidRPr="00481993" w:rsidRDefault="00793E34" w:rsidP="00481993">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 xml:space="preserve">Section 151 </w:t>
      </w:r>
      <w:r w:rsidR="00627933" w:rsidRPr="00481993">
        <w:rPr>
          <w:rFonts w:cs="Arial"/>
          <w:color w:val="000000"/>
          <w:sz w:val="24"/>
          <w:szCs w:val="24"/>
        </w:rPr>
        <w:t xml:space="preserve">of the National Law </w:t>
      </w:r>
      <w:r w:rsidR="00AA6875" w:rsidRPr="00481993">
        <w:rPr>
          <w:rFonts w:cs="Arial"/>
          <w:color w:val="000000"/>
          <w:sz w:val="24"/>
          <w:szCs w:val="24"/>
        </w:rPr>
        <w:t>states that f</w:t>
      </w:r>
      <w:r w:rsidR="001D1971" w:rsidRPr="00481993">
        <w:rPr>
          <w:rFonts w:cs="Arial"/>
          <w:color w:val="000000"/>
          <w:sz w:val="24"/>
          <w:szCs w:val="24"/>
        </w:rPr>
        <w:t xml:space="preserve">ollowing a </w:t>
      </w:r>
      <w:r w:rsidR="005D10E3" w:rsidRPr="00481993">
        <w:rPr>
          <w:rFonts w:cs="Arial"/>
          <w:color w:val="000000"/>
          <w:sz w:val="24"/>
          <w:szCs w:val="24"/>
        </w:rPr>
        <w:t xml:space="preserve">first tier </w:t>
      </w:r>
      <w:r w:rsidR="001D1971" w:rsidRPr="00481993">
        <w:rPr>
          <w:rFonts w:cs="Arial"/>
          <w:color w:val="000000"/>
          <w:sz w:val="24"/>
          <w:szCs w:val="24"/>
        </w:rPr>
        <w:t>review, the Ratings </w:t>
      </w:r>
      <w:r w:rsidRPr="00481993">
        <w:rPr>
          <w:rFonts w:cs="Arial"/>
          <w:color w:val="000000"/>
          <w:sz w:val="24"/>
          <w:szCs w:val="24"/>
        </w:rPr>
        <w:t>Review Panel may:</w:t>
      </w:r>
    </w:p>
    <w:p w:rsidR="00793E34" w:rsidRPr="003411DD" w:rsidRDefault="00793E34" w:rsidP="00717F33">
      <w:pPr>
        <w:pStyle w:val="ListParagraph"/>
        <w:spacing w:before="0" w:after="0" w:line="240" w:lineRule="auto"/>
        <w:ind w:right="-20" w:firstLine="720"/>
        <w:contextualSpacing w:val="0"/>
        <w:rPr>
          <w:rFonts w:eastAsia="Arial" w:cs="Arial"/>
          <w:sz w:val="24"/>
          <w:szCs w:val="24"/>
          <w14:cntxtAlts/>
        </w:rPr>
      </w:pPr>
      <w:r w:rsidRPr="003411DD">
        <w:rPr>
          <w:rFonts w:eastAsia="Arial" w:cs="Arial"/>
          <w:sz w:val="24"/>
          <w:szCs w:val="24"/>
          <w14:cntxtAlts/>
        </w:rPr>
        <w:t xml:space="preserve">(a) </w:t>
      </w:r>
      <w:proofErr w:type="gramStart"/>
      <w:r w:rsidRPr="003411DD">
        <w:rPr>
          <w:rFonts w:eastAsia="Arial" w:cs="Arial"/>
          <w:sz w:val="24"/>
          <w:szCs w:val="24"/>
          <w14:cntxtAlts/>
        </w:rPr>
        <w:t>confirm</w:t>
      </w:r>
      <w:proofErr w:type="gramEnd"/>
      <w:r w:rsidRPr="003411DD">
        <w:rPr>
          <w:rFonts w:eastAsia="Arial" w:cs="Arial"/>
          <w:sz w:val="24"/>
          <w:szCs w:val="24"/>
          <w14:cntxtAlts/>
        </w:rPr>
        <w:t xml:space="preserve"> the rating levels determined by the </w:t>
      </w:r>
      <w:r w:rsidR="00AA6875">
        <w:rPr>
          <w:rFonts w:eastAsia="Arial" w:cs="Arial"/>
          <w:sz w:val="24"/>
          <w:szCs w:val="24"/>
          <w14:cntxtAlts/>
        </w:rPr>
        <w:t>regulatory a</w:t>
      </w:r>
      <w:r w:rsidRPr="003411DD">
        <w:rPr>
          <w:rFonts w:eastAsia="Arial" w:cs="Arial"/>
          <w:sz w:val="24"/>
          <w:szCs w:val="24"/>
          <w14:cntxtAlts/>
        </w:rPr>
        <w:t>uthority; or</w:t>
      </w:r>
    </w:p>
    <w:p w:rsidR="00AB74E2" w:rsidRDefault="00627933" w:rsidP="00717F33">
      <w:pPr>
        <w:pStyle w:val="ListParagraph"/>
        <w:spacing w:before="0" w:after="0" w:line="240" w:lineRule="auto"/>
        <w:ind w:right="-20" w:firstLine="720"/>
        <w:contextualSpacing w:val="0"/>
        <w:rPr>
          <w:rFonts w:eastAsia="Arial" w:cs="Arial"/>
          <w:sz w:val="24"/>
          <w:szCs w:val="24"/>
          <w14:cntxtAlts/>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00793E34" w:rsidRPr="003411DD">
        <w:rPr>
          <w:rFonts w:eastAsia="Arial" w:cs="Arial"/>
          <w:sz w:val="24"/>
          <w:szCs w:val="24"/>
          <w14:cntxtAlts/>
        </w:rPr>
        <w:t>.</w:t>
      </w:r>
    </w:p>
    <w:p w:rsidR="00A13EBF" w:rsidRPr="00A13EBF" w:rsidRDefault="00A13EBF" w:rsidP="00717F33">
      <w:pPr>
        <w:spacing w:before="0" w:after="0" w:line="240" w:lineRule="auto"/>
        <w:ind w:right="-20"/>
        <w:rPr>
          <w:rFonts w:eastAsia="Arial" w:cs="Arial"/>
          <w:sz w:val="24"/>
          <w:szCs w:val="24"/>
          <w14:cntxtAlts/>
        </w:rPr>
      </w:pPr>
    </w:p>
    <w:p w:rsidR="00793E34" w:rsidRPr="00481993" w:rsidRDefault="00027A91" w:rsidP="00481993">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I</w:t>
      </w:r>
      <w:r w:rsidR="00793E34" w:rsidRPr="00481993">
        <w:rPr>
          <w:rFonts w:cs="Arial"/>
          <w:color w:val="000000"/>
          <w:sz w:val="24"/>
          <w:szCs w:val="24"/>
        </w:rPr>
        <w:t xml:space="preserve">nformation on </w:t>
      </w:r>
      <w:r w:rsidRPr="00481993">
        <w:rPr>
          <w:rFonts w:cs="Arial"/>
          <w:color w:val="000000"/>
          <w:sz w:val="24"/>
          <w:szCs w:val="24"/>
        </w:rPr>
        <w:t xml:space="preserve">the application of the National Quality Standard is available </w:t>
      </w:r>
      <w:r w:rsidR="00793E34" w:rsidRPr="00481993">
        <w:rPr>
          <w:rFonts w:cs="Arial"/>
          <w:color w:val="000000"/>
          <w:sz w:val="24"/>
          <w:szCs w:val="24"/>
        </w:rPr>
        <w:t>in the Guide to the National Law and Regulations and the Guide to the National Quality Standard available on ACECQA’s website.</w:t>
      </w:r>
    </w:p>
    <w:p w:rsidR="007A3A9B" w:rsidRPr="00274F70" w:rsidRDefault="007A3A9B" w:rsidP="00717F33">
      <w:pPr>
        <w:pStyle w:val="ListParagraph"/>
        <w:spacing w:before="0" w:after="0" w:line="240" w:lineRule="auto"/>
        <w:ind w:left="680"/>
        <w:contextualSpacing w:val="0"/>
        <w:rPr>
          <w:sz w:val="24"/>
          <w:szCs w:val="24"/>
        </w:rPr>
      </w:pPr>
    </w:p>
    <w:p w:rsidR="0074110E" w:rsidRDefault="0074110E" w:rsidP="00717F33">
      <w:pPr>
        <w:spacing w:before="0" w:after="0" w:line="240" w:lineRule="auto"/>
        <w:rPr>
          <w:rFonts w:cs="Arial"/>
          <w:b/>
          <w:sz w:val="28"/>
          <w:szCs w:val="28"/>
          <w14:cntxtAlts/>
        </w:rPr>
      </w:pPr>
    </w:p>
    <w:p w:rsidR="0074110E" w:rsidRDefault="0074110E" w:rsidP="00717F33">
      <w:pPr>
        <w:spacing w:before="0" w:after="0" w:line="240" w:lineRule="auto"/>
        <w:rPr>
          <w:rFonts w:cs="Arial"/>
          <w:b/>
          <w:sz w:val="28"/>
          <w:szCs w:val="28"/>
          <w14:cntxtAlts/>
        </w:rPr>
      </w:pPr>
    </w:p>
    <w:p w:rsidR="007A3A9B" w:rsidRPr="00B408D4" w:rsidRDefault="00B057CB" w:rsidP="00717F33">
      <w:pPr>
        <w:spacing w:before="0" w:after="0" w:line="240" w:lineRule="auto"/>
        <w:rPr>
          <w:rFonts w:cs="Arial"/>
          <w:b/>
          <w:sz w:val="28"/>
          <w:szCs w:val="28"/>
          <w14:cntxtAlts/>
        </w:rPr>
      </w:pPr>
      <w:r w:rsidRPr="00B408D4">
        <w:rPr>
          <w:rFonts w:cs="Arial"/>
          <w:b/>
          <w:sz w:val="28"/>
          <w:szCs w:val="28"/>
          <w14:cntxtAlts/>
        </w:rPr>
        <w:t xml:space="preserve">The </w:t>
      </w:r>
      <w:r w:rsidR="00027A91" w:rsidRPr="00B408D4">
        <w:rPr>
          <w:rFonts w:cs="Arial"/>
          <w:b/>
          <w:sz w:val="28"/>
          <w:szCs w:val="28"/>
          <w14:cntxtAlts/>
        </w:rPr>
        <w:t>f</w:t>
      </w:r>
      <w:r w:rsidRPr="00B408D4">
        <w:rPr>
          <w:rFonts w:cs="Arial"/>
          <w:b/>
          <w:sz w:val="28"/>
          <w:szCs w:val="28"/>
          <w14:cntxtAlts/>
        </w:rPr>
        <w:t>acts</w:t>
      </w:r>
    </w:p>
    <w:p w:rsidR="005D10E3" w:rsidRPr="00481993" w:rsidRDefault="00C207BB" w:rsidP="00481993">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The service</w:t>
      </w:r>
      <w:r w:rsidR="005D10E3" w:rsidRPr="00481993">
        <w:rPr>
          <w:rFonts w:cs="Arial"/>
          <w:color w:val="000000"/>
          <w:sz w:val="24"/>
          <w:szCs w:val="24"/>
        </w:rPr>
        <w:t xml:space="preserve"> is a stand-alone, centre-based long day care caring for children from birth to preschool age. This service is approved for a maximum of 28 places in total.</w:t>
      </w:r>
    </w:p>
    <w:p w:rsidR="005D10E3" w:rsidRPr="00D02639" w:rsidRDefault="005D10E3" w:rsidP="005D10E3">
      <w:pPr>
        <w:pStyle w:val="ListParagraph"/>
        <w:spacing w:before="0" w:after="0"/>
        <w:ind w:left="680"/>
        <w:rPr>
          <w:sz w:val="24"/>
          <w:szCs w:val="24"/>
        </w:rPr>
      </w:pPr>
    </w:p>
    <w:p w:rsidR="005D10E3" w:rsidRPr="00D02639" w:rsidRDefault="005D10E3" w:rsidP="005D10E3">
      <w:pPr>
        <w:pStyle w:val="ListParagraph"/>
        <w:numPr>
          <w:ilvl w:val="0"/>
          <w:numId w:val="2"/>
        </w:numPr>
        <w:spacing w:before="0" w:after="0"/>
        <w:rPr>
          <w:sz w:val="24"/>
          <w:szCs w:val="24"/>
        </w:rPr>
      </w:pPr>
      <w:r w:rsidRPr="00D02639">
        <w:rPr>
          <w:sz w:val="24"/>
          <w:szCs w:val="24"/>
        </w:rPr>
        <w:t xml:space="preserve">The assessment and rating visit at </w:t>
      </w:r>
      <w:r w:rsidR="00C207BB">
        <w:rPr>
          <w:sz w:val="24"/>
          <w:szCs w:val="24"/>
        </w:rPr>
        <w:t>the service</w:t>
      </w:r>
      <w:r w:rsidRPr="00D02639">
        <w:rPr>
          <w:sz w:val="24"/>
          <w:szCs w:val="24"/>
        </w:rPr>
        <w:t xml:space="preserve"> took place on 4 February 2014.</w:t>
      </w:r>
    </w:p>
    <w:p w:rsidR="005D10E3" w:rsidRPr="00D02639" w:rsidRDefault="005D10E3" w:rsidP="005D10E3">
      <w:pPr>
        <w:pStyle w:val="ListParagraph"/>
        <w:rPr>
          <w:sz w:val="24"/>
          <w:szCs w:val="24"/>
        </w:rPr>
      </w:pPr>
    </w:p>
    <w:p w:rsidR="005D10E3" w:rsidRPr="00D02639" w:rsidRDefault="005D10E3" w:rsidP="005D10E3">
      <w:pPr>
        <w:pStyle w:val="ListParagraph"/>
        <w:numPr>
          <w:ilvl w:val="0"/>
          <w:numId w:val="2"/>
        </w:numPr>
        <w:autoSpaceDE w:val="0"/>
        <w:autoSpaceDN w:val="0"/>
        <w:adjustRightInd w:val="0"/>
        <w:spacing w:before="0" w:after="0" w:line="240" w:lineRule="auto"/>
        <w:rPr>
          <w:sz w:val="24"/>
          <w:szCs w:val="24"/>
        </w:rPr>
      </w:pPr>
      <w:r w:rsidRPr="00D02639">
        <w:rPr>
          <w:sz w:val="24"/>
          <w:szCs w:val="24"/>
        </w:rPr>
        <w:t>The provider received the assessment and rating decision on 3 March 2014.</w:t>
      </w:r>
    </w:p>
    <w:p w:rsidR="005D10E3" w:rsidRPr="00D02639" w:rsidRDefault="005D10E3" w:rsidP="005D10E3">
      <w:pPr>
        <w:pStyle w:val="ListParagraph"/>
        <w:rPr>
          <w:sz w:val="24"/>
          <w:szCs w:val="24"/>
        </w:rPr>
      </w:pPr>
    </w:p>
    <w:p w:rsidR="005D10E3" w:rsidRPr="00D02639" w:rsidRDefault="005D10E3" w:rsidP="005D10E3">
      <w:pPr>
        <w:pStyle w:val="ListParagraph"/>
        <w:numPr>
          <w:ilvl w:val="0"/>
          <w:numId w:val="2"/>
        </w:numPr>
        <w:autoSpaceDE w:val="0"/>
        <w:autoSpaceDN w:val="0"/>
        <w:adjustRightInd w:val="0"/>
        <w:spacing w:before="0" w:after="0" w:line="240" w:lineRule="auto"/>
        <w:rPr>
          <w:sz w:val="24"/>
          <w:szCs w:val="24"/>
        </w:rPr>
      </w:pPr>
      <w:r w:rsidRPr="00D02639">
        <w:rPr>
          <w:sz w:val="24"/>
          <w:szCs w:val="24"/>
        </w:rPr>
        <w:lastRenderedPageBreak/>
        <w:t xml:space="preserve">The provider applied for first tier review. The regulatory authority made a decision on the review on 27 June 2014. The provider received the decision on 30 June 2014. </w:t>
      </w:r>
    </w:p>
    <w:p w:rsidR="00C7342B" w:rsidRDefault="00C7342B" w:rsidP="005D10E3">
      <w:pPr>
        <w:pStyle w:val="ListParagraph"/>
        <w:autoSpaceDE w:val="0"/>
        <w:autoSpaceDN w:val="0"/>
        <w:adjustRightInd w:val="0"/>
        <w:spacing w:before="0" w:after="0" w:line="240" w:lineRule="auto"/>
        <w:ind w:left="680"/>
        <w:rPr>
          <w:sz w:val="24"/>
          <w:szCs w:val="24"/>
        </w:rPr>
      </w:pPr>
    </w:p>
    <w:p w:rsidR="00306AC7" w:rsidRPr="00306AC7" w:rsidRDefault="00306AC7" w:rsidP="00717F33">
      <w:pPr>
        <w:autoSpaceDE w:val="0"/>
        <w:autoSpaceDN w:val="0"/>
        <w:adjustRightInd w:val="0"/>
        <w:spacing w:before="0" w:after="0" w:line="240" w:lineRule="auto"/>
        <w:rPr>
          <w:sz w:val="24"/>
          <w:szCs w:val="24"/>
        </w:rPr>
      </w:pPr>
    </w:p>
    <w:p w:rsidR="007A3A9B" w:rsidRPr="00E34437" w:rsidRDefault="00027A91" w:rsidP="00717F33">
      <w:pPr>
        <w:keepNext/>
        <w:spacing w:before="0" w:after="0" w:line="240" w:lineRule="auto"/>
        <w:rPr>
          <w:rFonts w:cs="Arial"/>
          <w:b/>
          <w:sz w:val="28"/>
          <w:szCs w:val="28"/>
          <w14:cntxtAlts/>
        </w:rPr>
      </w:pPr>
      <w:r w:rsidRPr="00E34437">
        <w:rPr>
          <w:rFonts w:cs="Arial"/>
          <w:b/>
          <w:sz w:val="28"/>
          <w:szCs w:val="28"/>
          <w14:cntxtAlts/>
        </w:rPr>
        <w:t>Review of rating levels</w:t>
      </w:r>
    </w:p>
    <w:p w:rsidR="00306AC7" w:rsidRPr="00306AC7" w:rsidRDefault="00306AC7" w:rsidP="00717F33">
      <w:pPr>
        <w:keepNext/>
        <w:spacing w:before="0" w:after="0" w:line="240" w:lineRule="auto"/>
        <w:ind w:left="113"/>
        <w:rPr>
          <w:rFonts w:eastAsia="Arial" w:cs="Arial"/>
          <w:sz w:val="24"/>
          <w:szCs w:val="24"/>
          <w14:cntxtAlts/>
        </w:rPr>
      </w:pPr>
    </w:p>
    <w:p w:rsidR="00920B43" w:rsidRPr="00F34B2D" w:rsidRDefault="00920B43" w:rsidP="00920B43">
      <w:pPr>
        <w:spacing w:before="0" w:after="0"/>
        <w:rPr>
          <w:b/>
          <w:sz w:val="24"/>
          <w:szCs w:val="24"/>
        </w:rPr>
      </w:pPr>
      <w:r w:rsidRPr="00F34B2D">
        <w:rPr>
          <w:b/>
          <w:sz w:val="24"/>
          <w:szCs w:val="24"/>
        </w:rPr>
        <w:t>Standard</w:t>
      </w:r>
      <w:r>
        <w:rPr>
          <w:b/>
          <w:sz w:val="24"/>
          <w:szCs w:val="24"/>
        </w:rPr>
        <w:t xml:space="preserve"> 6.1</w:t>
      </w:r>
    </w:p>
    <w:p w:rsidR="00920B43" w:rsidRDefault="00920B43" w:rsidP="00920B43">
      <w:pPr>
        <w:spacing w:before="0" w:after="0"/>
        <w:rPr>
          <w:sz w:val="24"/>
          <w:szCs w:val="24"/>
        </w:rPr>
      </w:pPr>
    </w:p>
    <w:p w:rsidR="00920B43" w:rsidRDefault="00920B43" w:rsidP="00920B43">
      <w:pPr>
        <w:pStyle w:val="ListParagraph"/>
        <w:numPr>
          <w:ilvl w:val="0"/>
          <w:numId w:val="2"/>
        </w:numPr>
        <w:spacing w:before="0" w:after="0"/>
        <w:rPr>
          <w:sz w:val="24"/>
          <w:szCs w:val="24"/>
        </w:rPr>
      </w:pPr>
      <w:r>
        <w:rPr>
          <w:sz w:val="24"/>
          <w:szCs w:val="24"/>
        </w:rPr>
        <w:t>Standard 6.1</w:t>
      </w:r>
      <w:r w:rsidRPr="006D38AF">
        <w:rPr>
          <w:sz w:val="24"/>
          <w:szCs w:val="24"/>
        </w:rPr>
        <w:t xml:space="preserve"> is that:</w:t>
      </w:r>
    </w:p>
    <w:p w:rsidR="00920B43" w:rsidRPr="00126208" w:rsidRDefault="00920B43" w:rsidP="00920B43">
      <w:pPr>
        <w:pStyle w:val="ListParagraph"/>
        <w:spacing w:before="0" w:after="0"/>
        <w:ind w:left="680"/>
        <w:rPr>
          <w:sz w:val="24"/>
          <w:szCs w:val="24"/>
        </w:rPr>
      </w:pPr>
      <w:r w:rsidRPr="005E156D">
        <w:rPr>
          <w:sz w:val="24"/>
          <w:szCs w:val="24"/>
        </w:rPr>
        <w:t>Respectful supportive relationships with families are developed and maintained</w:t>
      </w:r>
      <w:r w:rsidRPr="00126208">
        <w:rPr>
          <w:sz w:val="24"/>
          <w:szCs w:val="24"/>
        </w:rPr>
        <w:t xml:space="preserve">. </w:t>
      </w:r>
    </w:p>
    <w:p w:rsidR="00920B43" w:rsidRPr="006D38AF" w:rsidRDefault="00920B43" w:rsidP="00920B43">
      <w:pPr>
        <w:pStyle w:val="ListParagraph"/>
        <w:spacing w:before="0" w:after="0"/>
        <w:rPr>
          <w:sz w:val="24"/>
          <w:szCs w:val="24"/>
        </w:rPr>
      </w:pPr>
    </w:p>
    <w:p w:rsidR="00920B43" w:rsidRPr="00920B43" w:rsidRDefault="00920B43" w:rsidP="00920B43">
      <w:pPr>
        <w:pStyle w:val="ListParagraph"/>
        <w:numPr>
          <w:ilvl w:val="0"/>
          <w:numId w:val="2"/>
        </w:numPr>
        <w:spacing w:before="0" w:after="0"/>
        <w:rPr>
          <w:sz w:val="24"/>
          <w:szCs w:val="24"/>
        </w:rPr>
      </w:pPr>
      <w:r w:rsidRPr="00920B43">
        <w:rPr>
          <w:sz w:val="24"/>
          <w:szCs w:val="24"/>
        </w:rPr>
        <w:t>The Panel noted that to achieve a rating of ‘Exceeding NQS’ for this standard, it may expect to see evidence of the following:</w:t>
      </w:r>
    </w:p>
    <w:p w:rsidR="00920B43" w:rsidRDefault="00920B43" w:rsidP="00920B43">
      <w:pPr>
        <w:pStyle w:val="ListParagraph"/>
        <w:numPr>
          <w:ilvl w:val="1"/>
          <w:numId w:val="2"/>
        </w:numPr>
        <w:spacing w:before="240"/>
        <w:rPr>
          <w:sz w:val="24"/>
          <w:szCs w:val="24"/>
        </w:rPr>
      </w:pPr>
      <w:r w:rsidRPr="005E156D">
        <w:rPr>
          <w:sz w:val="24"/>
          <w:szCs w:val="24"/>
        </w:rPr>
        <w:t>an effective enrolment and orientation process based on active communication, consultation and collaboration with fami</w:t>
      </w:r>
      <w:r>
        <w:rPr>
          <w:sz w:val="24"/>
          <w:szCs w:val="24"/>
        </w:rPr>
        <w:t>lies that supports all families</w:t>
      </w:r>
    </w:p>
    <w:p w:rsidR="00920B43" w:rsidRPr="005E156D" w:rsidRDefault="00920B43" w:rsidP="00920B43">
      <w:pPr>
        <w:pStyle w:val="ListParagraph"/>
        <w:numPr>
          <w:ilvl w:val="1"/>
          <w:numId w:val="2"/>
        </w:numPr>
        <w:spacing w:before="240"/>
        <w:rPr>
          <w:sz w:val="24"/>
          <w:szCs w:val="24"/>
        </w:rPr>
      </w:pPr>
      <w:r>
        <w:rPr>
          <w:sz w:val="24"/>
          <w:szCs w:val="24"/>
        </w:rPr>
        <w:t>f</w:t>
      </w:r>
      <w:r w:rsidRPr="005E156D">
        <w:rPr>
          <w:sz w:val="24"/>
          <w:szCs w:val="24"/>
        </w:rPr>
        <w:t>amilies are offered a range of opportunities to be actively involved and are encouraged to significantly c</w:t>
      </w:r>
      <w:r>
        <w:rPr>
          <w:sz w:val="24"/>
          <w:szCs w:val="24"/>
        </w:rPr>
        <w:t>ontribute to service decisions</w:t>
      </w:r>
    </w:p>
    <w:p w:rsidR="00920B43" w:rsidRPr="005E156D" w:rsidRDefault="00920B43" w:rsidP="00920B43">
      <w:pPr>
        <w:pStyle w:val="ListParagraph"/>
        <w:numPr>
          <w:ilvl w:val="1"/>
          <w:numId w:val="2"/>
        </w:numPr>
        <w:spacing w:before="240"/>
        <w:rPr>
          <w:sz w:val="24"/>
          <w:szCs w:val="24"/>
        </w:rPr>
      </w:pPr>
      <w:proofErr w:type="gramStart"/>
      <w:r>
        <w:rPr>
          <w:sz w:val="24"/>
          <w:szCs w:val="24"/>
        </w:rPr>
        <w:t>c</w:t>
      </w:r>
      <w:r w:rsidRPr="005E156D">
        <w:rPr>
          <w:sz w:val="24"/>
          <w:szCs w:val="24"/>
        </w:rPr>
        <w:t>omprehensive</w:t>
      </w:r>
      <w:proofErr w:type="gramEnd"/>
      <w:r w:rsidRPr="005E156D">
        <w:rPr>
          <w:sz w:val="24"/>
          <w:szCs w:val="24"/>
        </w:rPr>
        <w:t xml:space="preserve"> and current information about the service is provided to families in an accessible format.</w:t>
      </w:r>
    </w:p>
    <w:p w:rsidR="00920B43" w:rsidRDefault="00920B43" w:rsidP="00920B43">
      <w:pPr>
        <w:pStyle w:val="ListParagraph"/>
        <w:keepNext/>
        <w:ind w:left="680"/>
        <w:rPr>
          <w:sz w:val="24"/>
          <w:szCs w:val="24"/>
        </w:rPr>
      </w:pPr>
    </w:p>
    <w:p w:rsidR="00920B43" w:rsidRDefault="00920B43" w:rsidP="00920B43">
      <w:pPr>
        <w:pStyle w:val="ListParagraph"/>
        <w:numPr>
          <w:ilvl w:val="0"/>
          <w:numId w:val="2"/>
        </w:numPr>
        <w:autoSpaceDE w:val="0"/>
        <w:autoSpaceDN w:val="0"/>
        <w:adjustRightInd w:val="0"/>
        <w:spacing w:before="0" w:after="0"/>
        <w:rPr>
          <w:rFonts w:cs="Arial"/>
          <w:color w:val="000000"/>
          <w:sz w:val="24"/>
          <w:szCs w:val="24"/>
        </w:rPr>
      </w:pPr>
      <w:r w:rsidRPr="00920B43">
        <w:rPr>
          <w:rFonts w:cs="Arial"/>
          <w:color w:val="000000"/>
          <w:sz w:val="24"/>
          <w:szCs w:val="24"/>
        </w:rPr>
        <w:t>The regulatory authority stated in its first tier review findings that the service demonstrates good pract</w:t>
      </w:r>
      <w:r>
        <w:rPr>
          <w:rFonts w:cs="Arial"/>
          <w:color w:val="000000"/>
          <w:sz w:val="24"/>
          <w:szCs w:val="24"/>
        </w:rPr>
        <w:t>ice in relation to standard 6</w:t>
      </w:r>
      <w:r w:rsidRPr="00920B43">
        <w:rPr>
          <w:rFonts w:cs="Arial"/>
          <w:color w:val="000000"/>
          <w:sz w:val="24"/>
          <w:szCs w:val="24"/>
        </w:rPr>
        <w:t>.1. However, the regulatory authority concluded that it was unable to find sufficient evidence to support a rating of ‘Exceeding NQS’ for this standard.</w:t>
      </w:r>
      <w:r>
        <w:rPr>
          <w:rFonts w:cs="Arial"/>
          <w:color w:val="000000"/>
          <w:sz w:val="24"/>
          <w:szCs w:val="24"/>
        </w:rPr>
        <w:t xml:space="preserve"> In particular, it stated </w:t>
      </w:r>
      <w:r w:rsidRPr="002F0F06">
        <w:rPr>
          <w:rFonts w:cs="Arial"/>
          <w:color w:val="000000"/>
          <w:sz w:val="24"/>
          <w:szCs w:val="24"/>
        </w:rPr>
        <w:t>that while the service has effective enrolment and orientation processes, there was no evidence of active communication, consultation and collaboration.</w:t>
      </w:r>
      <w:r>
        <w:rPr>
          <w:rFonts w:cs="Arial"/>
          <w:color w:val="000000"/>
          <w:sz w:val="24"/>
          <w:szCs w:val="24"/>
        </w:rPr>
        <w:t xml:space="preserve"> T</w:t>
      </w:r>
      <w:r w:rsidRPr="00920B43">
        <w:rPr>
          <w:rFonts w:cs="Arial"/>
          <w:color w:val="000000"/>
          <w:sz w:val="24"/>
          <w:szCs w:val="24"/>
        </w:rPr>
        <w:t>he regulatory authority also stated that while the service provides opportunities for families to be involved and contribute to decisions, there is no evidence that families are actively involved and encouraged to significantly contribute to service decisions.</w:t>
      </w:r>
    </w:p>
    <w:p w:rsidR="00920B43" w:rsidRDefault="00920B43" w:rsidP="00920B43">
      <w:pPr>
        <w:pStyle w:val="ListParagraph"/>
        <w:autoSpaceDE w:val="0"/>
        <w:autoSpaceDN w:val="0"/>
        <w:adjustRightInd w:val="0"/>
        <w:spacing w:before="0" w:after="0"/>
        <w:ind w:left="680"/>
        <w:rPr>
          <w:rFonts w:cs="Arial"/>
          <w:color w:val="000000"/>
          <w:sz w:val="24"/>
          <w:szCs w:val="24"/>
        </w:rPr>
      </w:pPr>
    </w:p>
    <w:p w:rsidR="00920B43" w:rsidRPr="00280A47" w:rsidRDefault="00920B43" w:rsidP="00920B43">
      <w:pPr>
        <w:pStyle w:val="ListParagraph"/>
        <w:numPr>
          <w:ilvl w:val="0"/>
          <w:numId w:val="2"/>
        </w:numPr>
        <w:spacing w:before="0" w:after="0"/>
        <w:rPr>
          <w:i/>
          <w:sz w:val="24"/>
          <w:szCs w:val="24"/>
        </w:rPr>
      </w:pPr>
      <w:r w:rsidRPr="00C97278">
        <w:rPr>
          <w:sz w:val="24"/>
          <w:szCs w:val="24"/>
        </w:rPr>
        <w:t>In response to the regulatory authority’</w:t>
      </w:r>
      <w:r w:rsidR="00C33DD7">
        <w:rPr>
          <w:sz w:val="24"/>
          <w:szCs w:val="24"/>
        </w:rPr>
        <w:t>s comments at first tier review</w:t>
      </w:r>
      <w:r>
        <w:rPr>
          <w:sz w:val="24"/>
          <w:szCs w:val="24"/>
        </w:rPr>
        <w:t xml:space="preserve">, the provider claims that it has </w:t>
      </w:r>
      <w:r w:rsidRPr="00B702A5">
        <w:rPr>
          <w:sz w:val="24"/>
          <w:szCs w:val="24"/>
        </w:rPr>
        <w:t xml:space="preserve">demonstrated that there is an effective enrolment and orientation process based on active communication, consultation and collaboration with families. </w:t>
      </w:r>
      <w:r>
        <w:rPr>
          <w:sz w:val="24"/>
          <w:szCs w:val="24"/>
        </w:rPr>
        <w:t>The provider claims that the assessor’s written e</w:t>
      </w:r>
      <w:r w:rsidRPr="00B702A5">
        <w:rPr>
          <w:sz w:val="24"/>
          <w:szCs w:val="24"/>
        </w:rPr>
        <w:t xml:space="preserve">vidence </w:t>
      </w:r>
      <w:r>
        <w:rPr>
          <w:sz w:val="24"/>
          <w:szCs w:val="24"/>
        </w:rPr>
        <w:t>confirms that the service’s</w:t>
      </w:r>
      <w:r w:rsidRPr="00B702A5">
        <w:rPr>
          <w:sz w:val="24"/>
          <w:szCs w:val="24"/>
        </w:rPr>
        <w:t xml:space="preserve"> orientation and enrolment process is</w:t>
      </w:r>
      <w:r>
        <w:rPr>
          <w:sz w:val="24"/>
          <w:szCs w:val="24"/>
        </w:rPr>
        <w:t xml:space="preserve"> completed</w:t>
      </w:r>
      <w:r w:rsidRPr="00B702A5">
        <w:rPr>
          <w:sz w:val="24"/>
          <w:szCs w:val="24"/>
        </w:rPr>
        <w:t xml:space="preserve"> in consultation with</w:t>
      </w:r>
      <w:r>
        <w:rPr>
          <w:sz w:val="24"/>
          <w:szCs w:val="24"/>
        </w:rPr>
        <w:t xml:space="preserve"> families</w:t>
      </w:r>
      <w:r w:rsidRPr="00B702A5">
        <w:rPr>
          <w:sz w:val="24"/>
          <w:szCs w:val="24"/>
        </w:rPr>
        <w:t>.</w:t>
      </w:r>
      <w:r>
        <w:rPr>
          <w:sz w:val="24"/>
          <w:szCs w:val="24"/>
        </w:rPr>
        <w:t xml:space="preserve"> In particular,</w:t>
      </w:r>
      <w:r w:rsidRPr="00B702A5">
        <w:rPr>
          <w:sz w:val="24"/>
          <w:szCs w:val="24"/>
        </w:rPr>
        <w:t xml:space="preserve"> families are invited to visit and become familiar with the </w:t>
      </w:r>
      <w:r>
        <w:rPr>
          <w:sz w:val="24"/>
          <w:szCs w:val="24"/>
        </w:rPr>
        <w:t>service before the child starts, and families</w:t>
      </w:r>
      <w:r w:rsidRPr="00B702A5">
        <w:rPr>
          <w:sz w:val="24"/>
          <w:szCs w:val="24"/>
        </w:rPr>
        <w:t xml:space="preserve"> are invited to attend the serv</w:t>
      </w:r>
      <w:r>
        <w:rPr>
          <w:sz w:val="24"/>
          <w:szCs w:val="24"/>
        </w:rPr>
        <w:t>ice as many times as is</w:t>
      </w:r>
      <w:r w:rsidRPr="00B702A5">
        <w:rPr>
          <w:sz w:val="24"/>
          <w:szCs w:val="24"/>
        </w:rPr>
        <w:t xml:space="preserve"> necessary for the child to feel </w:t>
      </w:r>
      <w:r w:rsidRPr="00B702A5">
        <w:rPr>
          <w:sz w:val="24"/>
          <w:szCs w:val="24"/>
        </w:rPr>
        <w:lastRenderedPageBreak/>
        <w:t>comfortable prior to starting</w:t>
      </w:r>
      <w:r>
        <w:rPr>
          <w:sz w:val="24"/>
          <w:szCs w:val="24"/>
        </w:rPr>
        <w:t xml:space="preserve"> at the service. Additionally, the provider claims that prior to a </w:t>
      </w:r>
      <w:r w:rsidRPr="00B702A5">
        <w:rPr>
          <w:sz w:val="24"/>
          <w:szCs w:val="24"/>
        </w:rPr>
        <w:t>child starting</w:t>
      </w:r>
      <w:r>
        <w:rPr>
          <w:sz w:val="24"/>
          <w:szCs w:val="24"/>
        </w:rPr>
        <w:t xml:space="preserve"> at the service,</w:t>
      </w:r>
      <w:r w:rsidRPr="00B702A5">
        <w:rPr>
          <w:sz w:val="24"/>
          <w:szCs w:val="24"/>
        </w:rPr>
        <w:t xml:space="preserve"> the nominated supervisor discusses the needs of the child and expectations with the family that they hold in relation to the child’s learning. </w:t>
      </w:r>
      <w:r>
        <w:rPr>
          <w:sz w:val="24"/>
          <w:szCs w:val="24"/>
        </w:rPr>
        <w:t xml:space="preserve">The provider states that </w:t>
      </w:r>
      <w:r w:rsidRPr="00B702A5">
        <w:rPr>
          <w:sz w:val="24"/>
          <w:szCs w:val="24"/>
        </w:rPr>
        <w:t xml:space="preserve">this </w:t>
      </w:r>
      <w:r>
        <w:rPr>
          <w:sz w:val="24"/>
          <w:szCs w:val="24"/>
        </w:rPr>
        <w:t xml:space="preserve">information </w:t>
      </w:r>
      <w:r w:rsidRPr="00B702A5">
        <w:rPr>
          <w:sz w:val="24"/>
          <w:szCs w:val="24"/>
        </w:rPr>
        <w:t>is documented within the enrolment form, family tree, cultural forms</w:t>
      </w:r>
      <w:r>
        <w:rPr>
          <w:sz w:val="24"/>
          <w:szCs w:val="24"/>
        </w:rPr>
        <w:t>, as well as within the parent handbook.</w:t>
      </w:r>
    </w:p>
    <w:p w:rsidR="00920B43" w:rsidRPr="00280A47" w:rsidRDefault="00920B43" w:rsidP="00920B43">
      <w:pPr>
        <w:pStyle w:val="ListParagraph"/>
        <w:rPr>
          <w:sz w:val="24"/>
          <w:szCs w:val="24"/>
        </w:rPr>
      </w:pPr>
    </w:p>
    <w:p w:rsidR="00920B43" w:rsidRDefault="00920B43" w:rsidP="00920B43">
      <w:pPr>
        <w:pStyle w:val="ListParagraph"/>
        <w:numPr>
          <w:ilvl w:val="0"/>
          <w:numId w:val="2"/>
        </w:numPr>
        <w:spacing w:before="0" w:after="0"/>
        <w:rPr>
          <w:sz w:val="24"/>
          <w:szCs w:val="24"/>
        </w:rPr>
      </w:pPr>
      <w:r w:rsidRPr="00770B3D">
        <w:rPr>
          <w:sz w:val="24"/>
          <w:szCs w:val="24"/>
        </w:rPr>
        <w:t>The provider claims that there were a number of resources available on the day of the assessment and rating visit that the assessor failed to note. These include philosophy and policy updates that are emailed to parents and</w:t>
      </w:r>
      <w:r>
        <w:rPr>
          <w:sz w:val="24"/>
          <w:szCs w:val="24"/>
        </w:rPr>
        <w:t xml:space="preserve"> include</w:t>
      </w:r>
      <w:r w:rsidRPr="00770B3D">
        <w:rPr>
          <w:sz w:val="24"/>
          <w:szCs w:val="24"/>
        </w:rPr>
        <w:t xml:space="preserve"> parent contributions, the information walls within the service</w:t>
      </w:r>
      <w:r>
        <w:rPr>
          <w:sz w:val="24"/>
          <w:szCs w:val="24"/>
        </w:rPr>
        <w:t>,</w:t>
      </w:r>
      <w:r w:rsidRPr="00770B3D">
        <w:rPr>
          <w:sz w:val="24"/>
          <w:szCs w:val="24"/>
        </w:rPr>
        <w:t xml:space="preserve"> information displays for parents, daily books, eat and sleep charts and programs, family input sheets, portfolios, parent/teacher interviews, </w:t>
      </w:r>
      <w:r>
        <w:rPr>
          <w:sz w:val="24"/>
          <w:szCs w:val="24"/>
        </w:rPr>
        <w:t xml:space="preserve">and </w:t>
      </w:r>
      <w:r w:rsidRPr="00770B3D">
        <w:rPr>
          <w:sz w:val="24"/>
          <w:szCs w:val="24"/>
        </w:rPr>
        <w:t>staff notification signs regarding sick</w:t>
      </w:r>
      <w:r>
        <w:rPr>
          <w:sz w:val="24"/>
          <w:szCs w:val="24"/>
        </w:rPr>
        <w:t>/annual leave and replacements.</w:t>
      </w:r>
    </w:p>
    <w:p w:rsidR="00920B43" w:rsidRPr="005437F5" w:rsidRDefault="00920B43" w:rsidP="00920B43">
      <w:pPr>
        <w:pStyle w:val="ListParagraph"/>
        <w:rPr>
          <w:sz w:val="24"/>
          <w:szCs w:val="24"/>
        </w:rPr>
      </w:pPr>
    </w:p>
    <w:p w:rsidR="00920B43" w:rsidRDefault="00920B43" w:rsidP="00920B43">
      <w:pPr>
        <w:pStyle w:val="ListParagraph"/>
        <w:numPr>
          <w:ilvl w:val="0"/>
          <w:numId w:val="2"/>
        </w:numPr>
        <w:spacing w:before="0" w:after="0"/>
        <w:rPr>
          <w:sz w:val="24"/>
          <w:szCs w:val="24"/>
        </w:rPr>
      </w:pPr>
      <w:r w:rsidRPr="00F060D0">
        <w:rPr>
          <w:sz w:val="24"/>
          <w:szCs w:val="24"/>
        </w:rPr>
        <w:t>The provider states that families are involved in the annual philosophy update</w:t>
      </w:r>
      <w:r>
        <w:rPr>
          <w:sz w:val="24"/>
          <w:szCs w:val="24"/>
        </w:rPr>
        <w:t xml:space="preserve"> and monthly policy </w:t>
      </w:r>
      <w:r w:rsidRPr="00F060D0">
        <w:rPr>
          <w:sz w:val="24"/>
          <w:szCs w:val="24"/>
        </w:rPr>
        <w:t>reviews</w:t>
      </w:r>
      <w:r w:rsidR="00C33DD7">
        <w:rPr>
          <w:sz w:val="24"/>
          <w:szCs w:val="24"/>
        </w:rPr>
        <w:t>, and f</w:t>
      </w:r>
      <w:r w:rsidRPr="00F060D0">
        <w:rPr>
          <w:sz w:val="24"/>
          <w:szCs w:val="24"/>
        </w:rPr>
        <w:t xml:space="preserve">amilies are given an opportunity to comment on these reviews before </w:t>
      </w:r>
      <w:r>
        <w:rPr>
          <w:sz w:val="24"/>
          <w:szCs w:val="24"/>
        </w:rPr>
        <w:t>documents are finalised</w:t>
      </w:r>
      <w:r w:rsidRPr="00F060D0">
        <w:rPr>
          <w:sz w:val="24"/>
          <w:szCs w:val="24"/>
        </w:rPr>
        <w:t xml:space="preserve">. The provider states that its philosophy and policy reviews are available </w:t>
      </w:r>
      <w:r>
        <w:rPr>
          <w:sz w:val="24"/>
          <w:szCs w:val="24"/>
        </w:rPr>
        <w:t xml:space="preserve">in </w:t>
      </w:r>
      <w:r w:rsidRPr="00F060D0">
        <w:rPr>
          <w:sz w:val="24"/>
          <w:szCs w:val="24"/>
        </w:rPr>
        <w:t>the foyer</w:t>
      </w:r>
      <w:r>
        <w:rPr>
          <w:sz w:val="24"/>
          <w:szCs w:val="24"/>
        </w:rPr>
        <w:t xml:space="preserve"> of the service</w:t>
      </w:r>
      <w:r w:rsidRPr="00F060D0">
        <w:rPr>
          <w:sz w:val="24"/>
          <w:szCs w:val="24"/>
        </w:rPr>
        <w:t xml:space="preserve"> for all parents to see</w:t>
      </w:r>
      <w:r>
        <w:rPr>
          <w:sz w:val="24"/>
          <w:szCs w:val="24"/>
        </w:rPr>
        <w:t xml:space="preserve">, as well as being available in </w:t>
      </w:r>
      <w:r w:rsidRPr="00F060D0">
        <w:rPr>
          <w:sz w:val="24"/>
          <w:szCs w:val="24"/>
        </w:rPr>
        <w:t>the parent handbook and on</w:t>
      </w:r>
      <w:r>
        <w:rPr>
          <w:sz w:val="24"/>
          <w:szCs w:val="24"/>
        </w:rPr>
        <w:t xml:space="preserve"> the service’s</w:t>
      </w:r>
      <w:r w:rsidRPr="00F060D0">
        <w:rPr>
          <w:sz w:val="24"/>
          <w:szCs w:val="24"/>
        </w:rPr>
        <w:t xml:space="preserve"> website.</w:t>
      </w:r>
    </w:p>
    <w:p w:rsidR="00481993" w:rsidRPr="00F060D0" w:rsidRDefault="00481993" w:rsidP="00481993">
      <w:pPr>
        <w:pStyle w:val="ListParagraph"/>
        <w:spacing w:before="0" w:after="0"/>
        <w:ind w:left="680"/>
        <w:rPr>
          <w:sz w:val="24"/>
          <w:szCs w:val="24"/>
        </w:rPr>
      </w:pPr>
    </w:p>
    <w:p w:rsidR="00920B43" w:rsidRPr="00F72599" w:rsidRDefault="00920B43" w:rsidP="00920B43">
      <w:pPr>
        <w:rPr>
          <w:i/>
          <w:sz w:val="24"/>
          <w:szCs w:val="24"/>
        </w:rPr>
      </w:pPr>
      <w:r w:rsidRPr="00F72599">
        <w:rPr>
          <w:i/>
          <w:sz w:val="24"/>
          <w:szCs w:val="24"/>
        </w:rPr>
        <w:t>Panel’s considerations</w:t>
      </w:r>
    </w:p>
    <w:p w:rsidR="00920B43" w:rsidRPr="00147712" w:rsidRDefault="00920B43" w:rsidP="00920B43">
      <w:pPr>
        <w:pStyle w:val="ListParagraph"/>
        <w:rPr>
          <w:i/>
          <w:sz w:val="24"/>
          <w:szCs w:val="24"/>
        </w:rPr>
      </w:pPr>
    </w:p>
    <w:p w:rsidR="00A74757" w:rsidRDefault="00A74757" w:rsidP="00A74757">
      <w:pPr>
        <w:pStyle w:val="ListParagraph"/>
        <w:numPr>
          <w:ilvl w:val="0"/>
          <w:numId w:val="2"/>
        </w:numPr>
        <w:spacing w:before="0" w:after="0"/>
        <w:rPr>
          <w:sz w:val="24"/>
          <w:szCs w:val="24"/>
        </w:rPr>
      </w:pPr>
      <w:r w:rsidRPr="00A74757">
        <w:rPr>
          <w:sz w:val="24"/>
          <w:szCs w:val="24"/>
        </w:rPr>
        <w:t xml:space="preserve">The Panel </w:t>
      </w:r>
      <w:r w:rsidR="0074110E">
        <w:rPr>
          <w:sz w:val="24"/>
          <w:szCs w:val="24"/>
        </w:rPr>
        <w:t>noted</w:t>
      </w:r>
      <w:r w:rsidRPr="00A74757">
        <w:rPr>
          <w:sz w:val="24"/>
          <w:szCs w:val="24"/>
        </w:rPr>
        <w:t xml:space="preserve"> that the information submitted by the provider regarding the assessment of </w:t>
      </w:r>
      <w:r w:rsidR="00C207BB">
        <w:rPr>
          <w:sz w:val="24"/>
          <w:szCs w:val="24"/>
        </w:rPr>
        <w:t>its ‘sister centre’</w:t>
      </w:r>
      <w:r w:rsidRPr="00A74757">
        <w:rPr>
          <w:sz w:val="24"/>
          <w:szCs w:val="24"/>
        </w:rPr>
        <w:t xml:space="preserve"> is irrelevant to determining </w:t>
      </w:r>
      <w:r w:rsidR="00C207BB">
        <w:rPr>
          <w:sz w:val="24"/>
          <w:szCs w:val="24"/>
        </w:rPr>
        <w:t>the service’s</w:t>
      </w:r>
      <w:r w:rsidRPr="00A74757">
        <w:rPr>
          <w:sz w:val="24"/>
          <w:szCs w:val="24"/>
        </w:rPr>
        <w:t xml:space="preserve"> rating for Standard 6.1. The Panel agreed that the National Quality Standard is to be applied to each individual service and practice and procedure should be assessed according to the circumstances of each service.</w:t>
      </w:r>
    </w:p>
    <w:p w:rsidR="00A74757" w:rsidRPr="00A74757" w:rsidRDefault="00A74757" w:rsidP="00A74757">
      <w:pPr>
        <w:pStyle w:val="ListParagraph"/>
        <w:spacing w:before="0" w:after="0"/>
        <w:ind w:left="680"/>
        <w:rPr>
          <w:sz w:val="24"/>
          <w:szCs w:val="24"/>
        </w:rPr>
      </w:pPr>
    </w:p>
    <w:p w:rsidR="006A3E72" w:rsidRDefault="00C33DD7" w:rsidP="006A3E72">
      <w:pPr>
        <w:pStyle w:val="ListParagraph"/>
        <w:numPr>
          <w:ilvl w:val="0"/>
          <w:numId w:val="2"/>
        </w:numPr>
        <w:spacing w:before="0" w:after="0"/>
        <w:rPr>
          <w:sz w:val="24"/>
          <w:szCs w:val="24"/>
        </w:rPr>
      </w:pPr>
      <w:r w:rsidRPr="00C33DD7">
        <w:rPr>
          <w:sz w:val="24"/>
          <w:szCs w:val="24"/>
        </w:rPr>
        <w:t>The Panel considered the evidence submitted by the provider for standard 6.1, and agreed that on balance, it d</w:t>
      </w:r>
      <w:r w:rsidR="006A3E72">
        <w:rPr>
          <w:sz w:val="24"/>
          <w:szCs w:val="24"/>
        </w:rPr>
        <w:t xml:space="preserve">emonstrates exceeding practice. In particular, the </w:t>
      </w:r>
      <w:r w:rsidR="006A3E72" w:rsidRPr="0038089A">
        <w:rPr>
          <w:sz w:val="24"/>
          <w:szCs w:val="24"/>
        </w:rPr>
        <w:t xml:space="preserve">Panel noted that the provider had submitted a range of documentation that is made available to families, such as policies and procedures, and </w:t>
      </w:r>
      <w:r w:rsidR="006A3E72">
        <w:rPr>
          <w:sz w:val="24"/>
          <w:szCs w:val="24"/>
        </w:rPr>
        <w:t xml:space="preserve">noted that it </w:t>
      </w:r>
      <w:r w:rsidR="006A3E72" w:rsidRPr="0038089A">
        <w:rPr>
          <w:sz w:val="24"/>
          <w:szCs w:val="24"/>
        </w:rPr>
        <w:t xml:space="preserve">requests input from families when making new policies. The Panel also noted that the service has a comprehensive website demonstrating that information was readily available to families. </w:t>
      </w:r>
    </w:p>
    <w:p w:rsidR="006A3E72" w:rsidRPr="006A3E72" w:rsidRDefault="006A3E72" w:rsidP="006A3E72">
      <w:pPr>
        <w:pStyle w:val="ListParagraph"/>
        <w:spacing w:before="0" w:after="0"/>
        <w:ind w:left="680"/>
        <w:rPr>
          <w:sz w:val="24"/>
          <w:szCs w:val="24"/>
        </w:rPr>
      </w:pPr>
    </w:p>
    <w:p w:rsidR="00C33DD7" w:rsidRPr="006A3E72" w:rsidRDefault="003C4735" w:rsidP="006A3E72">
      <w:pPr>
        <w:pStyle w:val="ListParagraph"/>
        <w:numPr>
          <w:ilvl w:val="0"/>
          <w:numId w:val="2"/>
        </w:numPr>
        <w:spacing w:before="0" w:after="0"/>
        <w:rPr>
          <w:sz w:val="24"/>
          <w:szCs w:val="24"/>
        </w:rPr>
      </w:pPr>
      <w:r w:rsidRPr="006A3E72">
        <w:rPr>
          <w:sz w:val="24"/>
          <w:szCs w:val="24"/>
        </w:rPr>
        <w:t>T</w:t>
      </w:r>
      <w:r w:rsidR="006A3E72">
        <w:rPr>
          <w:sz w:val="24"/>
          <w:szCs w:val="24"/>
        </w:rPr>
        <w:t xml:space="preserve">he </w:t>
      </w:r>
      <w:r w:rsidR="00C33DD7" w:rsidRPr="006A3E72">
        <w:rPr>
          <w:sz w:val="24"/>
          <w:szCs w:val="24"/>
        </w:rPr>
        <w:t xml:space="preserve">Panel agreed that there is evidence of an effective enrolment and orientation process based on active communication, consultation and </w:t>
      </w:r>
      <w:r w:rsidR="00C33DD7" w:rsidRPr="006A3E72">
        <w:rPr>
          <w:sz w:val="24"/>
          <w:szCs w:val="24"/>
        </w:rPr>
        <w:lastRenderedPageBreak/>
        <w:t>collaboration with families that supports all families. The Panel also agreed that there is evidence that families are offered a range of opportunities to be actively involved in service decisions, and that comprehensive and current information about the service is provided to families in an accessible format.</w:t>
      </w:r>
    </w:p>
    <w:p w:rsidR="00481993" w:rsidRPr="00C33DD7" w:rsidRDefault="00481993" w:rsidP="00481993">
      <w:pPr>
        <w:pStyle w:val="ListParagraph"/>
        <w:spacing w:before="0" w:after="0"/>
        <w:ind w:left="680"/>
        <w:rPr>
          <w:sz w:val="24"/>
          <w:szCs w:val="24"/>
        </w:rPr>
      </w:pPr>
    </w:p>
    <w:p w:rsidR="00895CD0" w:rsidRDefault="00895CD0" w:rsidP="00717F33">
      <w:pPr>
        <w:pStyle w:val="ListNumber"/>
        <w:numPr>
          <w:ilvl w:val="0"/>
          <w:numId w:val="0"/>
        </w:numPr>
        <w:pBdr>
          <w:bottom w:val="single" w:sz="4" w:space="2" w:color="auto"/>
        </w:pBdr>
        <w:rPr>
          <w:rStyle w:val="Strong"/>
          <w:rFonts w:cs="Arial"/>
          <w:sz w:val="28"/>
          <w:szCs w:val="28"/>
        </w:rPr>
      </w:pPr>
    </w:p>
    <w:p w:rsidR="00717F33" w:rsidRPr="00E300C7" w:rsidRDefault="00717F33" w:rsidP="00717F33">
      <w:pPr>
        <w:pStyle w:val="BodyText"/>
        <w:spacing w:before="360"/>
        <w:rPr>
          <w:rFonts w:cs="Arial"/>
          <w:sz w:val="28"/>
          <w:szCs w:val="28"/>
        </w:rPr>
      </w:pPr>
      <w:r>
        <w:rPr>
          <w:rStyle w:val="Strong"/>
          <w:rFonts w:cs="Arial"/>
          <w:sz w:val="28"/>
          <w:szCs w:val="28"/>
        </w:rPr>
        <w:t>D</w:t>
      </w:r>
      <w:r w:rsidRPr="00F23B77">
        <w:rPr>
          <w:rStyle w:val="Strong"/>
          <w:rFonts w:cs="Arial"/>
          <w:sz w:val="28"/>
          <w:szCs w:val="28"/>
        </w:rPr>
        <w:t>ecision</w:t>
      </w:r>
      <w:r>
        <w:rPr>
          <w:rFonts w:cs="Arial"/>
          <w:sz w:val="28"/>
          <w:szCs w:val="28"/>
        </w:rPr>
        <w:tab/>
      </w:r>
    </w:p>
    <w:p w:rsidR="0038089A" w:rsidRPr="00623144" w:rsidRDefault="0038089A" w:rsidP="0038089A">
      <w:pPr>
        <w:pStyle w:val="ListParagraph"/>
        <w:spacing w:before="0" w:after="0" w:line="240" w:lineRule="auto"/>
        <w:ind w:left="0"/>
        <w:rPr>
          <w:sz w:val="24"/>
          <w:szCs w:val="24"/>
        </w:rPr>
      </w:pPr>
      <w:r w:rsidRPr="00471FB9">
        <w:rPr>
          <w:rFonts w:cs="Arial"/>
          <w:sz w:val="24"/>
          <w:szCs w:val="24"/>
          <w14:cntxtAlts/>
        </w:rPr>
        <w:t xml:space="preserve">The Panel by consensus decided to amend the </w:t>
      </w:r>
      <w:r>
        <w:rPr>
          <w:rFonts w:cs="Arial"/>
          <w:sz w:val="24"/>
          <w:szCs w:val="24"/>
          <w14:cntxtAlts/>
        </w:rPr>
        <w:t>rating for standard 6.1 to ‘</w:t>
      </w:r>
      <w:r>
        <w:rPr>
          <w:sz w:val="24"/>
          <w:szCs w:val="24"/>
        </w:rPr>
        <w:t>Exceeding </w:t>
      </w:r>
      <w:r w:rsidRPr="00623144">
        <w:rPr>
          <w:sz w:val="24"/>
          <w:szCs w:val="24"/>
        </w:rPr>
        <w:t>NQS</w:t>
      </w:r>
      <w:r>
        <w:rPr>
          <w:sz w:val="24"/>
          <w:szCs w:val="24"/>
        </w:rPr>
        <w:t xml:space="preserve">’. </w:t>
      </w:r>
    </w:p>
    <w:p w:rsidR="0038089A" w:rsidRDefault="0038089A" w:rsidP="0038089A">
      <w:pPr>
        <w:pStyle w:val="ListParagraph"/>
        <w:spacing w:before="0" w:after="0" w:line="240" w:lineRule="auto"/>
        <w:ind w:left="0"/>
        <w:rPr>
          <w:sz w:val="24"/>
          <w:szCs w:val="24"/>
        </w:rPr>
      </w:pPr>
    </w:p>
    <w:p w:rsidR="0038089A" w:rsidRPr="00F77266" w:rsidRDefault="0038089A" w:rsidP="0038089A">
      <w:pPr>
        <w:pStyle w:val="ListParagraph"/>
        <w:spacing w:before="0" w:after="0" w:line="240" w:lineRule="auto"/>
        <w:ind w:left="0"/>
        <w:rPr>
          <w:sz w:val="24"/>
          <w:szCs w:val="24"/>
        </w:rPr>
      </w:pPr>
      <w:r w:rsidRPr="00471FB9">
        <w:rPr>
          <w:rFonts w:cs="Arial"/>
          <w:sz w:val="24"/>
          <w:szCs w:val="24"/>
          <w14:cntxtAlts/>
        </w:rPr>
        <w:t xml:space="preserve">As a result, the Panel by consensus </w:t>
      </w:r>
      <w:r>
        <w:rPr>
          <w:rFonts w:cs="Arial"/>
          <w:sz w:val="24"/>
          <w:szCs w:val="24"/>
          <w14:cntxtAlts/>
        </w:rPr>
        <w:t xml:space="preserve">amended </w:t>
      </w:r>
      <w:r w:rsidRPr="00471FB9">
        <w:rPr>
          <w:rFonts w:cs="Arial"/>
          <w:sz w:val="24"/>
          <w:szCs w:val="24"/>
          <w14:cntxtAlts/>
        </w:rPr>
        <w:t xml:space="preserve">the rating for </w:t>
      </w:r>
      <w:r>
        <w:rPr>
          <w:rFonts w:cs="Arial"/>
          <w:sz w:val="24"/>
          <w:szCs w:val="24"/>
          <w14:cntxtAlts/>
        </w:rPr>
        <w:t>Quality Area 6 to ‘</w:t>
      </w:r>
      <w:r w:rsidRPr="00623144">
        <w:rPr>
          <w:sz w:val="24"/>
          <w:szCs w:val="24"/>
        </w:rPr>
        <w:t>Exceeding NQS</w:t>
      </w:r>
      <w:r>
        <w:rPr>
          <w:sz w:val="24"/>
          <w:szCs w:val="24"/>
        </w:rPr>
        <w:t>’</w:t>
      </w:r>
      <w:r w:rsidR="00F77266">
        <w:rPr>
          <w:sz w:val="24"/>
          <w:szCs w:val="24"/>
        </w:rPr>
        <w:t xml:space="preserve">. </w:t>
      </w:r>
      <w:r>
        <w:rPr>
          <w:rStyle w:val="Strong"/>
          <w:rFonts w:cs="Arial"/>
          <w:b w:val="0"/>
          <w:sz w:val="24"/>
          <w:szCs w:val="24"/>
          <w14:cntxtAlts/>
        </w:rPr>
        <w:t>T</w:t>
      </w:r>
      <w:r w:rsidRPr="003411DD">
        <w:rPr>
          <w:rStyle w:val="Strong"/>
          <w:rFonts w:cs="Arial"/>
          <w:b w:val="0"/>
          <w:sz w:val="24"/>
          <w:szCs w:val="24"/>
          <w14:cntxtAlts/>
        </w:rPr>
        <w:t xml:space="preserve">he </w:t>
      </w:r>
      <w:r>
        <w:rPr>
          <w:rStyle w:val="Strong"/>
          <w:rFonts w:cs="Arial"/>
          <w:b w:val="0"/>
          <w:sz w:val="24"/>
          <w:szCs w:val="24"/>
          <w14:cntxtAlts/>
        </w:rPr>
        <w:t xml:space="preserve">Panel confirmed that </w:t>
      </w:r>
      <w:r w:rsidR="006A3E72">
        <w:rPr>
          <w:rStyle w:val="Strong"/>
          <w:rFonts w:cs="Arial"/>
          <w:b w:val="0"/>
          <w:sz w:val="24"/>
          <w:szCs w:val="24"/>
          <w14:cntxtAlts/>
        </w:rPr>
        <w:t xml:space="preserve">as a result </w:t>
      </w:r>
      <w:r>
        <w:rPr>
          <w:rStyle w:val="Strong"/>
          <w:rFonts w:cs="Arial"/>
          <w:b w:val="0"/>
          <w:sz w:val="24"/>
          <w:szCs w:val="24"/>
          <w14:cntxtAlts/>
        </w:rPr>
        <w:t xml:space="preserve">the </w:t>
      </w:r>
      <w:r w:rsidRPr="003411DD">
        <w:rPr>
          <w:rStyle w:val="Strong"/>
          <w:rFonts w:cs="Arial"/>
          <w:b w:val="0"/>
          <w:sz w:val="24"/>
          <w:szCs w:val="24"/>
          <w14:cntxtAlts/>
        </w:rPr>
        <w:t>overall rating for the service</w:t>
      </w:r>
      <w:r>
        <w:rPr>
          <w:rStyle w:val="Strong"/>
          <w:rFonts w:cs="Arial"/>
          <w:b w:val="0"/>
          <w:sz w:val="24"/>
          <w:szCs w:val="24"/>
          <w14:cntxtAlts/>
        </w:rPr>
        <w:t xml:space="preserve"> is amended to </w:t>
      </w:r>
      <w:r>
        <w:rPr>
          <w:rFonts w:cs="Arial"/>
          <w:sz w:val="24"/>
          <w:szCs w:val="24"/>
          <w14:cntxtAlts/>
        </w:rPr>
        <w:t>‘</w:t>
      </w:r>
      <w:r>
        <w:rPr>
          <w:sz w:val="24"/>
          <w:szCs w:val="24"/>
        </w:rPr>
        <w:t>Exceeding </w:t>
      </w:r>
      <w:r w:rsidRPr="00623144">
        <w:rPr>
          <w:sz w:val="24"/>
          <w:szCs w:val="24"/>
        </w:rPr>
        <w:t>NQS</w:t>
      </w:r>
      <w:r>
        <w:rPr>
          <w:sz w:val="24"/>
          <w:szCs w:val="24"/>
        </w:rPr>
        <w:t>’</w:t>
      </w:r>
      <w:r w:rsidRPr="003411DD">
        <w:rPr>
          <w:rFonts w:cs="Arial"/>
          <w:sz w:val="24"/>
          <w:szCs w:val="24"/>
          <w14:cntxtAlts/>
        </w:rPr>
        <w:t>.</w:t>
      </w:r>
    </w:p>
    <w:p w:rsidR="00717F33" w:rsidRDefault="00717F33" w:rsidP="00717F33">
      <w:pPr>
        <w:pStyle w:val="ListNumber"/>
        <w:numPr>
          <w:ilvl w:val="0"/>
          <w:numId w:val="0"/>
        </w:numPr>
        <w:pBdr>
          <w:bottom w:val="single" w:sz="4" w:space="2" w:color="auto"/>
        </w:pBdr>
        <w:jc w:val="right"/>
        <w:rPr>
          <w:rStyle w:val="Strong"/>
          <w:rFonts w:cs="Arial"/>
          <w:sz w:val="28"/>
          <w:szCs w:val="28"/>
        </w:rPr>
      </w:pPr>
    </w:p>
    <w:sectPr w:rsidR="00717F33"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15" w:rsidRDefault="001A2715" w:rsidP="006B3974">
      <w:pPr>
        <w:spacing w:after="0" w:line="240" w:lineRule="auto"/>
      </w:pPr>
      <w:r>
        <w:separator/>
      </w:r>
    </w:p>
  </w:endnote>
  <w:endnote w:type="continuationSeparator" w:id="0">
    <w:p w:rsidR="001A2715" w:rsidRDefault="001A2715"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Footer"/>
      <w:jc w:val="right"/>
    </w:pPr>
    <w:r>
      <w:fldChar w:fldCharType="begin"/>
    </w:r>
    <w:r>
      <w:instrText xml:space="preserve"> PAGE   \* MERGEFORMAT </w:instrText>
    </w:r>
    <w:r>
      <w:fldChar w:fldCharType="separate"/>
    </w:r>
    <w:r w:rsidR="009E57FD">
      <w:rPr>
        <w:noProof/>
      </w:rPr>
      <w:t>4</w:t>
    </w:r>
    <w:r>
      <w:rPr>
        <w:noProof/>
      </w:rPr>
      <w:fldChar w:fldCharType="end"/>
    </w:r>
  </w:p>
  <w:p w:rsidR="00BB4934" w:rsidRPr="00515609" w:rsidRDefault="00BB4934"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Footer"/>
    </w:pPr>
    <w:r>
      <w:rPr>
        <w:noProof/>
        <w:lang w:val="en-US" w:eastAsia="en-US"/>
      </w:rPr>
      <w:drawing>
        <wp:anchor distT="0" distB="0" distL="114300" distR="114300" simplePos="0" relativeHeight="251656192" behindDoc="0" locked="0" layoutInCell="1" allowOverlap="1" wp14:anchorId="6F78FE63" wp14:editId="0FC41BCC">
          <wp:simplePos x="0" y="0"/>
          <wp:positionH relativeFrom="margin">
            <wp:posOffset>-925830</wp:posOffset>
          </wp:positionH>
          <wp:positionV relativeFrom="margin">
            <wp:posOffset>8109585</wp:posOffset>
          </wp:positionV>
          <wp:extent cx="7642225" cy="2787650"/>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15" w:rsidRDefault="001A2715" w:rsidP="006B3974">
      <w:pPr>
        <w:spacing w:after="0" w:line="240" w:lineRule="auto"/>
      </w:pPr>
      <w:r>
        <w:separator/>
      </w:r>
    </w:p>
  </w:footnote>
  <w:footnote w:type="continuationSeparator" w:id="0">
    <w:p w:rsidR="001A2715" w:rsidRDefault="001A2715" w:rsidP="006B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Header"/>
    </w:pPr>
    <w:r>
      <w:rPr>
        <w:noProof/>
        <w:lang w:val="en-US" w:eastAsia="en-US"/>
      </w:rPr>
      <w:drawing>
        <wp:anchor distT="0" distB="0" distL="114300" distR="114300" simplePos="0" relativeHeight="251658240" behindDoc="0" locked="0" layoutInCell="1" allowOverlap="1" wp14:anchorId="4C0ACC6C" wp14:editId="55512599">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Header"/>
    </w:pPr>
    <w:r>
      <w:rPr>
        <w:noProof/>
        <w:lang w:val="en-US" w:eastAsia="en-US"/>
      </w:rPr>
      <w:drawing>
        <wp:anchor distT="0" distB="0" distL="114300" distR="114300" simplePos="0" relativeHeight="251657216" behindDoc="0" locked="0" layoutInCell="1" allowOverlap="1" wp14:anchorId="251C3AAC" wp14:editId="47039507">
          <wp:simplePos x="0" y="0"/>
          <wp:positionH relativeFrom="margin">
            <wp:posOffset>-750570</wp:posOffset>
          </wp:positionH>
          <wp:positionV relativeFrom="margin">
            <wp:posOffset>-1201420</wp:posOffset>
          </wp:positionV>
          <wp:extent cx="2533650" cy="103124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50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nsid w:val="0E6F6959"/>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1819E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6411F2"/>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6A6051"/>
    <w:multiLevelType w:val="hybridMultilevel"/>
    <w:tmpl w:val="8FD4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8E537B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40492C"/>
    <w:multiLevelType w:val="hybridMultilevel"/>
    <w:tmpl w:val="C16CE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DDE76BD"/>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B11C1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9AF6B4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267477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nsid w:val="37212871"/>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FA1B2B"/>
    <w:multiLevelType w:val="hybridMultilevel"/>
    <w:tmpl w:val="DEB0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0B271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8B2C4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0CA50E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526699"/>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B8F617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CC144CE"/>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E606E9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E77613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7C75C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B3A0B9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E5A7AAF"/>
    <w:multiLevelType w:val="multilevel"/>
    <w:tmpl w:val="EF181FC2"/>
    <w:lvl w:ilvl="0">
      <w:start w:val="1"/>
      <w:numFmt w:val="lowerLetter"/>
      <w:lvlText w:val="%1."/>
      <w:lvlJc w:val="left"/>
      <w:pPr>
        <w:tabs>
          <w:tab w:val="num" w:pos="2268"/>
        </w:tabs>
        <w:ind w:left="2268"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F575932"/>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0B1280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1EB404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6D115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4420F80"/>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1301C06"/>
    <w:multiLevelType w:val="hybridMultilevel"/>
    <w:tmpl w:val="B1127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A86CF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6BF5CB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C731E6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6"/>
  </w:num>
  <w:num w:numId="4">
    <w:abstractNumId w:val="15"/>
  </w:num>
  <w:num w:numId="5">
    <w:abstractNumId w:val="1"/>
  </w:num>
  <w:num w:numId="6">
    <w:abstractNumId w:val="25"/>
  </w:num>
  <w:num w:numId="7">
    <w:abstractNumId w:val="29"/>
  </w:num>
  <w:num w:numId="8">
    <w:abstractNumId w:val="3"/>
  </w:num>
  <w:num w:numId="9">
    <w:abstractNumId w:val="7"/>
  </w:num>
  <w:num w:numId="10">
    <w:abstractNumId w:val="9"/>
  </w:num>
  <w:num w:numId="11">
    <w:abstractNumId w:val="17"/>
  </w:num>
  <w:num w:numId="12">
    <w:abstractNumId w:val="38"/>
  </w:num>
  <w:num w:numId="13">
    <w:abstractNumId w:val="27"/>
  </w:num>
  <w:num w:numId="14">
    <w:abstractNumId w:val="5"/>
  </w:num>
  <w:num w:numId="15">
    <w:abstractNumId w:val="0"/>
  </w:num>
  <w:num w:numId="16">
    <w:abstractNumId w:val="12"/>
  </w:num>
  <w:num w:numId="17">
    <w:abstractNumId w:val="28"/>
  </w:num>
  <w:num w:numId="18">
    <w:abstractNumId w:val="40"/>
  </w:num>
  <w:num w:numId="19">
    <w:abstractNumId w:val="6"/>
  </w:num>
  <w:num w:numId="20">
    <w:abstractNumId w:val="23"/>
  </w:num>
  <w:num w:numId="21">
    <w:abstractNumId w:val="10"/>
  </w:num>
  <w:num w:numId="22">
    <w:abstractNumId w:val="36"/>
  </w:num>
  <w:num w:numId="23">
    <w:abstractNumId w:val="18"/>
  </w:num>
  <w:num w:numId="24">
    <w:abstractNumId w:val="13"/>
  </w:num>
  <w:num w:numId="25">
    <w:abstractNumId w:val="34"/>
  </w:num>
  <w:num w:numId="26">
    <w:abstractNumId w:val="14"/>
  </w:num>
  <w:num w:numId="27">
    <w:abstractNumId w:val="8"/>
  </w:num>
  <w:num w:numId="28">
    <w:abstractNumId w:val="22"/>
  </w:num>
  <w:num w:numId="29">
    <w:abstractNumId w:val="4"/>
  </w:num>
  <w:num w:numId="30">
    <w:abstractNumId w:val="41"/>
  </w:num>
  <w:num w:numId="31">
    <w:abstractNumId w:val="16"/>
  </w:num>
  <w:num w:numId="32">
    <w:abstractNumId w:val="39"/>
  </w:num>
  <w:num w:numId="33">
    <w:abstractNumId w:val="35"/>
  </w:num>
  <w:num w:numId="34">
    <w:abstractNumId w:val="30"/>
  </w:num>
  <w:num w:numId="35">
    <w:abstractNumId w:val="42"/>
  </w:num>
  <w:num w:numId="36">
    <w:abstractNumId w:val="21"/>
  </w:num>
  <w:num w:numId="37">
    <w:abstractNumId w:val="37"/>
  </w:num>
  <w:num w:numId="38">
    <w:abstractNumId w:val="43"/>
  </w:num>
  <w:num w:numId="39">
    <w:abstractNumId w:val="31"/>
  </w:num>
  <w:num w:numId="40">
    <w:abstractNumId w:val="32"/>
  </w:num>
  <w:num w:numId="41">
    <w:abstractNumId w:val="8"/>
  </w:num>
  <w:num w:numId="42">
    <w:abstractNumId w:val="24"/>
  </w:num>
  <w:num w:numId="43">
    <w:abstractNumId w:val="24"/>
  </w:num>
  <w:num w:numId="44">
    <w:abstractNumId w:val="24"/>
  </w:num>
  <w:num w:numId="45">
    <w:abstractNumId w:val="24"/>
  </w:num>
  <w:num w:numId="46">
    <w:abstractNumId w:val="11"/>
  </w:num>
  <w:num w:numId="47">
    <w:abstractNumId w:val="33"/>
  </w:num>
  <w:num w:numId="48">
    <w:abstractNumId w:val="20"/>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5822"/>
    <w:rsid w:val="00026BAF"/>
    <w:rsid w:val="0002764B"/>
    <w:rsid w:val="00027A91"/>
    <w:rsid w:val="00034389"/>
    <w:rsid w:val="00035E39"/>
    <w:rsid w:val="00036EF1"/>
    <w:rsid w:val="00040FAF"/>
    <w:rsid w:val="00050314"/>
    <w:rsid w:val="00054430"/>
    <w:rsid w:val="00057CDE"/>
    <w:rsid w:val="000618F8"/>
    <w:rsid w:val="000633EA"/>
    <w:rsid w:val="00070B0C"/>
    <w:rsid w:val="00073508"/>
    <w:rsid w:val="000755D1"/>
    <w:rsid w:val="000912AC"/>
    <w:rsid w:val="000915F5"/>
    <w:rsid w:val="0009186E"/>
    <w:rsid w:val="000929AB"/>
    <w:rsid w:val="00097405"/>
    <w:rsid w:val="000A1129"/>
    <w:rsid w:val="000A2A11"/>
    <w:rsid w:val="000A3B97"/>
    <w:rsid w:val="000A539B"/>
    <w:rsid w:val="000A55D2"/>
    <w:rsid w:val="000B2615"/>
    <w:rsid w:val="000B43B2"/>
    <w:rsid w:val="000B6EE0"/>
    <w:rsid w:val="000B7BE7"/>
    <w:rsid w:val="000C01F5"/>
    <w:rsid w:val="000C170C"/>
    <w:rsid w:val="000C1FD4"/>
    <w:rsid w:val="000C4DC8"/>
    <w:rsid w:val="000C608C"/>
    <w:rsid w:val="000D4D43"/>
    <w:rsid w:val="000D5AE0"/>
    <w:rsid w:val="000D66D1"/>
    <w:rsid w:val="000E10FB"/>
    <w:rsid w:val="000E187D"/>
    <w:rsid w:val="000E4796"/>
    <w:rsid w:val="000E5C29"/>
    <w:rsid w:val="000F3E5C"/>
    <w:rsid w:val="000F4A7D"/>
    <w:rsid w:val="000F5839"/>
    <w:rsid w:val="000F67D8"/>
    <w:rsid w:val="000F7BEC"/>
    <w:rsid w:val="000F7FCC"/>
    <w:rsid w:val="001026BD"/>
    <w:rsid w:val="001127F6"/>
    <w:rsid w:val="00112CF3"/>
    <w:rsid w:val="001213B9"/>
    <w:rsid w:val="00121DCF"/>
    <w:rsid w:val="00136FC5"/>
    <w:rsid w:val="00143526"/>
    <w:rsid w:val="00143864"/>
    <w:rsid w:val="00146340"/>
    <w:rsid w:val="00147535"/>
    <w:rsid w:val="00147712"/>
    <w:rsid w:val="001541C3"/>
    <w:rsid w:val="00155658"/>
    <w:rsid w:val="00156333"/>
    <w:rsid w:val="00162F42"/>
    <w:rsid w:val="00163FA3"/>
    <w:rsid w:val="00164207"/>
    <w:rsid w:val="00166CDA"/>
    <w:rsid w:val="00167166"/>
    <w:rsid w:val="001712D4"/>
    <w:rsid w:val="00173AF4"/>
    <w:rsid w:val="00174E2A"/>
    <w:rsid w:val="001832AF"/>
    <w:rsid w:val="00183FC4"/>
    <w:rsid w:val="00185270"/>
    <w:rsid w:val="0018751F"/>
    <w:rsid w:val="00190157"/>
    <w:rsid w:val="00191BC9"/>
    <w:rsid w:val="00192EEE"/>
    <w:rsid w:val="00196602"/>
    <w:rsid w:val="001A09D2"/>
    <w:rsid w:val="001A15F5"/>
    <w:rsid w:val="001A2715"/>
    <w:rsid w:val="001B6DA9"/>
    <w:rsid w:val="001C091A"/>
    <w:rsid w:val="001C0C57"/>
    <w:rsid w:val="001C20B3"/>
    <w:rsid w:val="001C3697"/>
    <w:rsid w:val="001D0CB1"/>
    <w:rsid w:val="001D1971"/>
    <w:rsid w:val="001D3664"/>
    <w:rsid w:val="001E2CF9"/>
    <w:rsid w:val="001E6616"/>
    <w:rsid w:val="001F0CCC"/>
    <w:rsid w:val="001F1AE7"/>
    <w:rsid w:val="001F7BF5"/>
    <w:rsid w:val="00201A5E"/>
    <w:rsid w:val="00203E6E"/>
    <w:rsid w:val="00203EE3"/>
    <w:rsid w:val="0020499E"/>
    <w:rsid w:val="00207E2D"/>
    <w:rsid w:val="002157FE"/>
    <w:rsid w:val="002211ED"/>
    <w:rsid w:val="00221A0F"/>
    <w:rsid w:val="00223593"/>
    <w:rsid w:val="0022373A"/>
    <w:rsid w:val="00224B6F"/>
    <w:rsid w:val="00227D76"/>
    <w:rsid w:val="0023370C"/>
    <w:rsid w:val="00235D1C"/>
    <w:rsid w:val="00237409"/>
    <w:rsid w:val="00237A63"/>
    <w:rsid w:val="0025052F"/>
    <w:rsid w:val="00254276"/>
    <w:rsid w:val="002604A4"/>
    <w:rsid w:val="002615DC"/>
    <w:rsid w:val="00262243"/>
    <w:rsid w:val="00265A01"/>
    <w:rsid w:val="00265E09"/>
    <w:rsid w:val="00267EA5"/>
    <w:rsid w:val="00272595"/>
    <w:rsid w:val="002741E5"/>
    <w:rsid w:val="00274F70"/>
    <w:rsid w:val="0027639A"/>
    <w:rsid w:val="002800DA"/>
    <w:rsid w:val="00280A98"/>
    <w:rsid w:val="00286D0F"/>
    <w:rsid w:val="002930DB"/>
    <w:rsid w:val="00293899"/>
    <w:rsid w:val="00296313"/>
    <w:rsid w:val="00297105"/>
    <w:rsid w:val="002A0F72"/>
    <w:rsid w:val="002A4ADB"/>
    <w:rsid w:val="002A62F1"/>
    <w:rsid w:val="002A6D60"/>
    <w:rsid w:val="002A7F3A"/>
    <w:rsid w:val="002C0900"/>
    <w:rsid w:val="002C1F0B"/>
    <w:rsid w:val="002D3D61"/>
    <w:rsid w:val="002D4266"/>
    <w:rsid w:val="002D4791"/>
    <w:rsid w:val="002E154A"/>
    <w:rsid w:val="002E7492"/>
    <w:rsid w:val="002F055B"/>
    <w:rsid w:val="002F4D4A"/>
    <w:rsid w:val="00302622"/>
    <w:rsid w:val="00304430"/>
    <w:rsid w:val="00305ECC"/>
    <w:rsid w:val="00306AC7"/>
    <w:rsid w:val="00306D0F"/>
    <w:rsid w:val="00310B07"/>
    <w:rsid w:val="00312149"/>
    <w:rsid w:val="00315E80"/>
    <w:rsid w:val="00316848"/>
    <w:rsid w:val="0032327E"/>
    <w:rsid w:val="0032411B"/>
    <w:rsid w:val="00325E55"/>
    <w:rsid w:val="00326174"/>
    <w:rsid w:val="00326FC5"/>
    <w:rsid w:val="003302CC"/>
    <w:rsid w:val="0033171D"/>
    <w:rsid w:val="00332E02"/>
    <w:rsid w:val="00333975"/>
    <w:rsid w:val="00335B85"/>
    <w:rsid w:val="00335D3D"/>
    <w:rsid w:val="00341038"/>
    <w:rsid w:val="003411DD"/>
    <w:rsid w:val="003430A1"/>
    <w:rsid w:val="0034437C"/>
    <w:rsid w:val="00345F18"/>
    <w:rsid w:val="0035292C"/>
    <w:rsid w:val="00352D41"/>
    <w:rsid w:val="0035759C"/>
    <w:rsid w:val="00361D2F"/>
    <w:rsid w:val="00363CED"/>
    <w:rsid w:val="003646EA"/>
    <w:rsid w:val="00365EA1"/>
    <w:rsid w:val="0038089A"/>
    <w:rsid w:val="003836C7"/>
    <w:rsid w:val="00384947"/>
    <w:rsid w:val="00384A60"/>
    <w:rsid w:val="0038743D"/>
    <w:rsid w:val="0039009C"/>
    <w:rsid w:val="003911B4"/>
    <w:rsid w:val="003A0201"/>
    <w:rsid w:val="003A2985"/>
    <w:rsid w:val="003A54EB"/>
    <w:rsid w:val="003B1E1A"/>
    <w:rsid w:val="003B3E57"/>
    <w:rsid w:val="003B42DB"/>
    <w:rsid w:val="003B635B"/>
    <w:rsid w:val="003C05C9"/>
    <w:rsid w:val="003C4735"/>
    <w:rsid w:val="003D0BDE"/>
    <w:rsid w:val="003D2A16"/>
    <w:rsid w:val="003D320F"/>
    <w:rsid w:val="003E06FD"/>
    <w:rsid w:val="003E1EFD"/>
    <w:rsid w:val="003E29D9"/>
    <w:rsid w:val="003E2E9D"/>
    <w:rsid w:val="003F2F48"/>
    <w:rsid w:val="003F3393"/>
    <w:rsid w:val="003F58C7"/>
    <w:rsid w:val="004009B6"/>
    <w:rsid w:val="00402415"/>
    <w:rsid w:val="004024DB"/>
    <w:rsid w:val="004062B8"/>
    <w:rsid w:val="004152A1"/>
    <w:rsid w:val="00417C54"/>
    <w:rsid w:val="00417D6B"/>
    <w:rsid w:val="00421B9E"/>
    <w:rsid w:val="0042544F"/>
    <w:rsid w:val="0043134B"/>
    <w:rsid w:val="00434052"/>
    <w:rsid w:val="0043662A"/>
    <w:rsid w:val="00440213"/>
    <w:rsid w:val="00440300"/>
    <w:rsid w:val="00442B5A"/>
    <w:rsid w:val="0044379A"/>
    <w:rsid w:val="00444DC3"/>
    <w:rsid w:val="004468E9"/>
    <w:rsid w:val="00447E09"/>
    <w:rsid w:val="00450725"/>
    <w:rsid w:val="004507F9"/>
    <w:rsid w:val="00450E7D"/>
    <w:rsid w:val="00451FDB"/>
    <w:rsid w:val="004521BD"/>
    <w:rsid w:val="00452827"/>
    <w:rsid w:val="0046286E"/>
    <w:rsid w:val="004666D1"/>
    <w:rsid w:val="00466F13"/>
    <w:rsid w:val="00467CCA"/>
    <w:rsid w:val="00470E6F"/>
    <w:rsid w:val="00471FB9"/>
    <w:rsid w:val="0047252D"/>
    <w:rsid w:val="00475789"/>
    <w:rsid w:val="00480DDF"/>
    <w:rsid w:val="00481993"/>
    <w:rsid w:val="00483C8B"/>
    <w:rsid w:val="00486933"/>
    <w:rsid w:val="00487320"/>
    <w:rsid w:val="00490470"/>
    <w:rsid w:val="00491E29"/>
    <w:rsid w:val="00494058"/>
    <w:rsid w:val="00496D2C"/>
    <w:rsid w:val="004A2A9B"/>
    <w:rsid w:val="004A601F"/>
    <w:rsid w:val="004A7D2F"/>
    <w:rsid w:val="004B28B5"/>
    <w:rsid w:val="004B3610"/>
    <w:rsid w:val="004B4FBD"/>
    <w:rsid w:val="004B51AF"/>
    <w:rsid w:val="004B6F4D"/>
    <w:rsid w:val="004B7EC1"/>
    <w:rsid w:val="004C0DC9"/>
    <w:rsid w:val="004C23FB"/>
    <w:rsid w:val="004C3FCE"/>
    <w:rsid w:val="004C45EF"/>
    <w:rsid w:val="004D04DA"/>
    <w:rsid w:val="004D2434"/>
    <w:rsid w:val="004D329E"/>
    <w:rsid w:val="004D4193"/>
    <w:rsid w:val="004D5E4D"/>
    <w:rsid w:val="004D6819"/>
    <w:rsid w:val="004E07F3"/>
    <w:rsid w:val="004E284A"/>
    <w:rsid w:val="004E4D38"/>
    <w:rsid w:val="004E51DA"/>
    <w:rsid w:val="004F2CD2"/>
    <w:rsid w:val="004F364E"/>
    <w:rsid w:val="004F717B"/>
    <w:rsid w:val="00506B14"/>
    <w:rsid w:val="00512A37"/>
    <w:rsid w:val="00515609"/>
    <w:rsid w:val="0052178E"/>
    <w:rsid w:val="005322C5"/>
    <w:rsid w:val="00537EB5"/>
    <w:rsid w:val="00542937"/>
    <w:rsid w:val="00543928"/>
    <w:rsid w:val="00555414"/>
    <w:rsid w:val="00556FBC"/>
    <w:rsid w:val="00557DDA"/>
    <w:rsid w:val="005621D3"/>
    <w:rsid w:val="00573197"/>
    <w:rsid w:val="00582141"/>
    <w:rsid w:val="00587AC1"/>
    <w:rsid w:val="00590032"/>
    <w:rsid w:val="005905D6"/>
    <w:rsid w:val="005978C4"/>
    <w:rsid w:val="005A1689"/>
    <w:rsid w:val="005B2A59"/>
    <w:rsid w:val="005B5EFA"/>
    <w:rsid w:val="005B6BD3"/>
    <w:rsid w:val="005C2A1D"/>
    <w:rsid w:val="005C6996"/>
    <w:rsid w:val="005D10E3"/>
    <w:rsid w:val="005D14E7"/>
    <w:rsid w:val="005D29E3"/>
    <w:rsid w:val="005D4BA3"/>
    <w:rsid w:val="005D6735"/>
    <w:rsid w:val="005E03B8"/>
    <w:rsid w:val="005E4700"/>
    <w:rsid w:val="005E692A"/>
    <w:rsid w:val="005F0208"/>
    <w:rsid w:val="005F64B4"/>
    <w:rsid w:val="005F6AE1"/>
    <w:rsid w:val="00602334"/>
    <w:rsid w:val="00603DA9"/>
    <w:rsid w:val="006042DF"/>
    <w:rsid w:val="006047C4"/>
    <w:rsid w:val="0060644A"/>
    <w:rsid w:val="00606F96"/>
    <w:rsid w:val="0062014D"/>
    <w:rsid w:val="00621818"/>
    <w:rsid w:val="00621E0D"/>
    <w:rsid w:val="00623144"/>
    <w:rsid w:val="00625F4A"/>
    <w:rsid w:val="00626702"/>
    <w:rsid w:val="00627933"/>
    <w:rsid w:val="00630074"/>
    <w:rsid w:val="0063211B"/>
    <w:rsid w:val="00633F04"/>
    <w:rsid w:val="006367C1"/>
    <w:rsid w:val="00637499"/>
    <w:rsid w:val="00637875"/>
    <w:rsid w:val="00637BED"/>
    <w:rsid w:val="00644DD8"/>
    <w:rsid w:val="00645998"/>
    <w:rsid w:val="00646A9C"/>
    <w:rsid w:val="006523E4"/>
    <w:rsid w:val="00653EC3"/>
    <w:rsid w:val="00654387"/>
    <w:rsid w:val="00655C30"/>
    <w:rsid w:val="00660166"/>
    <w:rsid w:val="00660519"/>
    <w:rsid w:val="006702EC"/>
    <w:rsid w:val="0067125E"/>
    <w:rsid w:val="00671C84"/>
    <w:rsid w:val="00675F44"/>
    <w:rsid w:val="00680B10"/>
    <w:rsid w:val="00690380"/>
    <w:rsid w:val="006914B4"/>
    <w:rsid w:val="006916B5"/>
    <w:rsid w:val="006925C0"/>
    <w:rsid w:val="006946F6"/>
    <w:rsid w:val="00695686"/>
    <w:rsid w:val="006957D5"/>
    <w:rsid w:val="006969CE"/>
    <w:rsid w:val="0069769F"/>
    <w:rsid w:val="006A3E72"/>
    <w:rsid w:val="006A417E"/>
    <w:rsid w:val="006A4E45"/>
    <w:rsid w:val="006A606F"/>
    <w:rsid w:val="006A704D"/>
    <w:rsid w:val="006B06A6"/>
    <w:rsid w:val="006B364A"/>
    <w:rsid w:val="006B3974"/>
    <w:rsid w:val="006B44BC"/>
    <w:rsid w:val="006B6D04"/>
    <w:rsid w:val="006B7140"/>
    <w:rsid w:val="006C4BF9"/>
    <w:rsid w:val="006C68FE"/>
    <w:rsid w:val="006D0438"/>
    <w:rsid w:val="006D170C"/>
    <w:rsid w:val="006E0C7D"/>
    <w:rsid w:val="006E23B9"/>
    <w:rsid w:val="006E495D"/>
    <w:rsid w:val="006E5E17"/>
    <w:rsid w:val="00701B40"/>
    <w:rsid w:val="0070237B"/>
    <w:rsid w:val="0070622F"/>
    <w:rsid w:val="0071454D"/>
    <w:rsid w:val="0071626D"/>
    <w:rsid w:val="007166F8"/>
    <w:rsid w:val="0071683A"/>
    <w:rsid w:val="00717DCF"/>
    <w:rsid w:val="00717F33"/>
    <w:rsid w:val="00726176"/>
    <w:rsid w:val="00732FF9"/>
    <w:rsid w:val="007363FB"/>
    <w:rsid w:val="007400A6"/>
    <w:rsid w:val="00740F66"/>
    <w:rsid w:val="0074110E"/>
    <w:rsid w:val="00743BFE"/>
    <w:rsid w:val="00743E45"/>
    <w:rsid w:val="0074482E"/>
    <w:rsid w:val="0074509E"/>
    <w:rsid w:val="00746192"/>
    <w:rsid w:val="0074689B"/>
    <w:rsid w:val="00761239"/>
    <w:rsid w:val="00761698"/>
    <w:rsid w:val="00762980"/>
    <w:rsid w:val="00763358"/>
    <w:rsid w:val="00773245"/>
    <w:rsid w:val="007742B3"/>
    <w:rsid w:val="0077450E"/>
    <w:rsid w:val="00774981"/>
    <w:rsid w:val="0077579B"/>
    <w:rsid w:val="0077591F"/>
    <w:rsid w:val="0077625F"/>
    <w:rsid w:val="00780FC9"/>
    <w:rsid w:val="0078222E"/>
    <w:rsid w:val="00783D15"/>
    <w:rsid w:val="00786BD6"/>
    <w:rsid w:val="007918E0"/>
    <w:rsid w:val="007921DC"/>
    <w:rsid w:val="00792463"/>
    <w:rsid w:val="00793E34"/>
    <w:rsid w:val="007A2AB1"/>
    <w:rsid w:val="007A38F9"/>
    <w:rsid w:val="007A3A9B"/>
    <w:rsid w:val="007A3D55"/>
    <w:rsid w:val="007A5479"/>
    <w:rsid w:val="007A7E27"/>
    <w:rsid w:val="007B04BF"/>
    <w:rsid w:val="007B2190"/>
    <w:rsid w:val="007B3C9E"/>
    <w:rsid w:val="007B508E"/>
    <w:rsid w:val="007B548C"/>
    <w:rsid w:val="007B77CF"/>
    <w:rsid w:val="007C06BC"/>
    <w:rsid w:val="007C0B63"/>
    <w:rsid w:val="007C1A23"/>
    <w:rsid w:val="007C2520"/>
    <w:rsid w:val="007C2EAA"/>
    <w:rsid w:val="007C4F43"/>
    <w:rsid w:val="007C5235"/>
    <w:rsid w:val="007D0580"/>
    <w:rsid w:val="007D0E80"/>
    <w:rsid w:val="007D366F"/>
    <w:rsid w:val="007D4A60"/>
    <w:rsid w:val="007D53C8"/>
    <w:rsid w:val="007E0545"/>
    <w:rsid w:val="007E4B8C"/>
    <w:rsid w:val="007E4DB9"/>
    <w:rsid w:val="007E4DCF"/>
    <w:rsid w:val="007E5E21"/>
    <w:rsid w:val="007E64AD"/>
    <w:rsid w:val="007F111F"/>
    <w:rsid w:val="007F29CC"/>
    <w:rsid w:val="007F2DA9"/>
    <w:rsid w:val="007F37F8"/>
    <w:rsid w:val="0080243D"/>
    <w:rsid w:val="00812C86"/>
    <w:rsid w:val="00813A2F"/>
    <w:rsid w:val="00816849"/>
    <w:rsid w:val="00817490"/>
    <w:rsid w:val="00823F29"/>
    <w:rsid w:val="008264A0"/>
    <w:rsid w:val="008265FF"/>
    <w:rsid w:val="00830A04"/>
    <w:rsid w:val="00832361"/>
    <w:rsid w:val="008335AE"/>
    <w:rsid w:val="008368DB"/>
    <w:rsid w:val="008369B7"/>
    <w:rsid w:val="0084264B"/>
    <w:rsid w:val="00845539"/>
    <w:rsid w:val="00852D7B"/>
    <w:rsid w:val="00852E88"/>
    <w:rsid w:val="00855B5F"/>
    <w:rsid w:val="0085640A"/>
    <w:rsid w:val="0085687B"/>
    <w:rsid w:val="00857DA4"/>
    <w:rsid w:val="00861479"/>
    <w:rsid w:val="008614A3"/>
    <w:rsid w:val="00861781"/>
    <w:rsid w:val="008647B0"/>
    <w:rsid w:val="00866629"/>
    <w:rsid w:val="0087056C"/>
    <w:rsid w:val="00870589"/>
    <w:rsid w:val="00872D89"/>
    <w:rsid w:val="00874CA1"/>
    <w:rsid w:val="00876D27"/>
    <w:rsid w:val="00894D5F"/>
    <w:rsid w:val="00895CD0"/>
    <w:rsid w:val="00896971"/>
    <w:rsid w:val="00896C88"/>
    <w:rsid w:val="008978F0"/>
    <w:rsid w:val="00897F23"/>
    <w:rsid w:val="008A53BE"/>
    <w:rsid w:val="008B0011"/>
    <w:rsid w:val="008B120E"/>
    <w:rsid w:val="008C20B2"/>
    <w:rsid w:val="008C5E4C"/>
    <w:rsid w:val="008C64F1"/>
    <w:rsid w:val="008C756E"/>
    <w:rsid w:val="008D029F"/>
    <w:rsid w:val="008D61DC"/>
    <w:rsid w:val="008D76D3"/>
    <w:rsid w:val="008E0DE3"/>
    <w:rsid w:val="008E0DE5"/>
    <w:rsid w:val="008E348A"/>
    <w:rsid w:val="008E3706"/>
    <w:rsid w:val="008E4ECA"/>
    <w:rsid w:val="008E73AE"/>
    <w:rsid w:val="008E7C6C"/>
    <w:rsid w:val="008F2667"/>
    <w:rsid w:val="008F3921"/>
    <w:rsid w:val="00904B0C"/>
    <w:rsid w:val="00905C82"/>
    <w:rsid w:val="00906563"/>
    <w:rsid w:val="00906A20"/>
    <w:rsid w:val="0090785C"/>
    <w:rsid w:val="00914AC6"/>
    <w:rsid w:val="00916BA5"/>
    <w:rsid w:val="009175A6"/>
    <w:rsid w:val="00917CA1"/>
    <w:rsid w:val="009209CC"/>
    <w:rsid w:val="00920B43"/>
    <w:rsid w:val="00921167"/>
    <w:rsid w:val="00925049"/>
    <w:rsid w:val="0092609C"/>
    <w:rsid w:val="00927C3C"/>
    <w:rsid w:val="00932C0A"/>
    <w:rsid w:val="00934595"/>
    <w:rsid w:val="009357E9"/>
    <w:rsid w:val="00936122"/>
    <w:rsid w:val="00936CBE"/>
    <w:rsid w:val="0094046F"/>
    <w:rsid w:val="0094085D"/>
    <w:rsid w:val="009412E8"/>
    <w:rsid w:val="00941B22"/>
    <w:rsid w:val="009428FC"/>
    <w:rsid w:val="00945412"/>
    <w:rsid w:val="0094782B"/>
    <w:rsid w:val="00947F3F"/>
    <w:rsid w:val="00950306"/>
    <w:rsid w:val="0095292D"/>
    <w:rsid w:val="009533E7"/>
    <w:rsid w:val="009540DF"/>
    <w:rsid w:val="00961FFD"/>
    <w:rsid w:val="0096326B"/>
    <w:rsid w:val="0096463C"/>
    <w:rsid w:val="009705C7"/>
    <w:rsid w:val="009738CB"/>
    <w:rsid w:val="009758B2"/>
    <w:rsid w:val="00976E22"/>
    <w:rsid w:val="00977017"/>
    <w:rsid w:val="00977B91"/>
    <w:rsid w:val="00980670"/>
    <w:rsid w:val="00981574"/>
    <w:rsid w:val="00981BFC"/>
    <w:rsid w:val="0098258B"/>
    <w:rsid w:val="00990875"/>
    <w:rsid w:val="00991858"/>
    <w:rsid w:val="00996E04"/>
    <w:rsid w:val="00996F34"/>
    <w:rsid w:val="00997AFF"/>
    <w:rsid w:val="009A3862"/>
    <w:rsid w:val="009A3957"/>
    <w:rsid w:val="009B0272"/>
    <w:rsid w:val="009B1B15"/>
    <w:rsid w:val="009B22D7"/>
    <w:rsid w:val="009B5080"/>
    <w:rsid w:val="009B70CD"/>
    <w:rsid w:val="009C0ED8"/>
    <w:rsid w:val="009C1DF5"/>
    <w:rsid w:val="009C2B31"/>
    <w:rsid w:val="009C2F2F"/>
    <w:rsid w:val="009C4769"/>
    <w:rsid w:val="009C54FB"/>
    <w:rsid w:val="009C6F8C"/>
    <w:rsid w:val="009D02C4"/>
    <w:rsid w:val="009D0CC1"/>
    <w:rsid w:val="009D29D5"/>
    <w:rsid w:val="009D406B"/>
    <w:rsid w:val="009D5B8F"/>
    <w:rsid w:val="009E0D99"/>
    <w:rsid w:val="009E24CA"/>
    <w:rsid w:val="009E4CA3"/>
    <w:rsid w:val="009E57FD"/>
    <w:rsid w:val="009E5F87"/>
    <w:rsid w:val="009F21B9"/>
    <w:rsid w:val="009F3FF4"/>
    <w:rsid w:val="009F62FC"/>
    <w:rsid w:val="00A046A5"/>
    <w:rsid w:val="00A06E19"/>
    <w:rsid w:val="00A10D53"/>
    <w:rsid w:val="00A117DA"/>
    <w:rsid w:val="00A11BDC"/>
    <w:rsid w:val="00A13EBF"/>
    <w:rsid w:val="00A15DF1"/>
    <w:rsid w:val="00A165AF"/>
    <w:rsid w:val="00A2210E"/>
    <w:rsid w:val="00A2535E"/>
    <w:rsid w:val="00A30C92"/>
    <w:rsid w:val="00A33875"/>
    <w:rsid w:val="00A35AA6"/>
    <w:rsid w:val="00A37731"/>
    <w:rsid w:val="00A379D2"/>
    <w:rsid w:val="00A4484F"/>
    <w:rsid w:val="00A543FC"/>
    <w:rsid w:val="00A609E6"/>
    <w:rsid w:val="00A616FB"/>
    <w:rsid w:val="00A65578"/>
    <w:rsid w:val="00A65FBE"/>
    <w:rsid w:val="00A74757"/>
    <w:rsid w:val="00A76B2B"/>
    <w:rsid w:val="00A779CA"/>
    <w:rsid w:val="00A77F5C"/>
    <w:rsid w:val="00A80EE9"/>
    <w:rsid w:val="00A834F8"/>
    <w:rsid w:val="00A850C9"/>
    <w:rsid w:val="00A85AD7"/>
    <w:rsid w:val="00A87E38"/>
    <w:rsid w:val="00A91E42"/>
    <w:rsid w:val="00A96858"/>
    <w:rsid w:val="00AA0EA4"/>
    <w:rsid w:val="00AA2471"/>
    <w:rsid w:val="00AA46A0"/>
    <w:rsid w:val="00AA4A0A"/>
    <w:rsid w:val="00AA6875"/>
    <w:rsid w:val="00AB0EDB"/>
    <w:rsid w:val="00AB1F16"/>
    <w:rsid w:val="00AB5C21"/>
    <w:rsid w:val="00AB74E2"/>
    <w:rsid w:val="00AB7A2C"/>
    <w:rsid w:val="00AC2034"/>
    <w:rsid w:val="00AC6563"/>
    <w:rsid w:val="00AC6627"/>
    <w:rsid w:val="00AD1FF5"/>
    <w:rsid w:val="00AD2FD9"/>
    <w:rsid w:val="00AD37F4"/>
    <w:rsid w:val="00AE0AC0"/>
    <w:rsid w:val="00AE4D6E"/>
    <w:rsid w:val="00AE7B04"/>
    <w:rsid w:val="00B0073A"/>
    <w:rsid w:val="00B01D4E"/>
    <w:rsid w:val="00B03CE4"/>
    <w:rsid w:val="00B0406F"/>
    <w:rsid w:val="00B04F42"/>
    <w:rsid w:val="00B055A7"/>
    <w:rsid w:val="00B057CB"/>
    <w:rsid w:val="00B06B7C"/>
    <w:rsid w:val="00B10E80"/>
    <w:rsid w:val="00B15366"/>
    <w:rsid w:val="00B166E1"/>
    <w:rsid w:val="00B178F0"/>
    <w:rsid w:val="00B2468B"/>
    <w:rsid w:val="00B30B90"/>
    <w:rsid w:val="00B342FB"/>
    <w:rsid w:val="00B408D4"/>
    <w:rsid w:val="00B41829"/>
    <w:rsid w:val="00B50C59"/>
    <w:rsid w:val="00B51409"/>
    <w:rsid w:val="00B52AF0"/>
    <w:rsid w:val="00B53B01"/>
    <w:rsid w:val="00B53EF7"/>
    <w:rsid w:val="00B55D40"/>
    <w:rsid w:val="00B5686E"/>
    <w:rsid w:val="00B61DA8"/>
    <w:rsid w:val="00B62F0A"/>
    <w:rsid w:val="00B640C9"/>
    <w:rsid w:val="00B721B4"/>
    <w:rsid w:val="00B72BD3"/>
    <w:rsid w:val="00B75306"/>
    <w:rsid w:val="00B828E4"/>
    <w:rsid w:val="00B836EC"/>
    <w:rsid w:val="00B838AD"/>
    <w:rsid w:val="00B93BA7"/>
    <w:rsid w:val="00B96594"/>
    <w:rsid w:val="00BA4209"/>
    <w:rsid w:val="00BB48B6"/>
    <w:rsid w:val="00BB4934"/>
    <w:rsid w:val="00BD2827"/>
    <w:rsid w:val="00BE0F01"/>
    <w:rsid w:val="00BE4A1E"/>
    <w:rsid w:val="00BE515A"/>
    <w:rsid w:val="00BE6A4F"/>
    <w:rsid w:val="00BE6B11"/>
    <w:rsid w:val="00BE7358"/>
    <w:rsid w:val="00BF52B1"/>
    <w:rsid w:val="00BF5EB2"/>
    <w:rsid w:val="00C06DD5"/>
    <w:rsid w:val="00C1154D"/>
    <w:rsid w:val="00C11F0B"/>
    <w:rsid w:val="00C157E0"/>
    <w:rsid w:val="00C207BB"/>
    <w:rsid w:val="00C211D0"/>
    <w:rsid w:val="00C270C7"/>
    <w:rsid w:val="00C27762"/>
    <w:rsid w:val="00C33DD7"/>
    <w:rsid w:val="00C33FA2"/>
    <w:rsid w:val="00C3434B"/>
    <w:rsid w:val="00C357D5"/>
    <w:rsid w:val="00C41CF6"/>
    <w:rsid w:val="00C42ABD"/>
    <w:rsid w:val="00C43582"/>
    <w:rsid w:val="00C50DA6"/>
    <w:rsid w:val="00C513EC"/>
    <w:rsid w:val="00C602D0"/>
    <w:rsid w:val="00C62678"/>
    <w:rsid w:val="00C64D56"/>
    <w:rsid w:val="00C66887"/>
    <w:rsid w:val="00C7342B"/>
    <w:rsid w:val="00C74846"/>
    <w:rsid w:val="00C75876"/>
    <w:rsid w:val="00C76790"/>
    <w:rsid w:val="00C77CB6"/>
    <w:rsid w:val="00C81A7A"/>
    <w:rsid w:val="00C8646D"/>
    <w:rsid w:val="00C910FB"/>
    <w:rsid w:val="00C91E77"/>
    <w:rsid w:val="00C92027"/>
    <w:rsid w:val="00C93CCF"/>
    <w:rsid w:val="00C94026"/>
    <w:rsid w:val="00CA0B6E"/>
    <w:rsid w:val="00CA1203"/>
    <w:rsid w:val="00CB1C1E"/>
    <w:rsid w:val="00CB2379"/>
    <w:rsid w:val="00CB7A5C"/>
    <w:rsid w:val="00CC39EC"/>
    <w:rsid w:val="00CC6526"/>
    <w:rsid w:val="00CC7228"/>
    <w:rsid w:val="00CD2B2E"/>
    <w:rsid w:val="00CD6DCB"/>
    <w:rsid w:val="00CE2A0E"/>
    <w:rsid w:val="00CE5F07"/>
    <w:rsid w:val="00CF0C15"/>
    <w:rsid w:val="00CF12EF"/>
    <w:rsid w:val="00D01911"/>
    <w:rsid w:val="00D03B8F"/>
    <w:rsid w:val="00D04C6D"/>
    <w:rsid w:val="00D07095"/>
    <w:rsid w:val="00D12D05"/>
    <w:rsid w:val="00D14BF4"/>
    <w:rsid w:val="00D154B7"/>
    <w:rsid w:val="00D21AEF"/>
    <w:rsid w:val="00D2667C"/>
    <w:rsid w:val="00D27621"/>
    <w:rsid w:val="00D31899"/>
    <w:rsid w:val="00D3471E"/>
    <w:rsid w:val="00D442EF"/>
    <w:rsid w:val="00D53DA2"/>
    <w:rsid w:val="00D53E69"/>
    <w:rsid w:val="00D5603F"/>
    <w:rsid w:val="00D563B4"/>
    <w:rsid w:val="00D56A52"/>
    <w:rsid w:val="00D57208"/>
    <w:rsid w:val="00D627C5"/>
    <w:rsid w:val="00D64FB5"/>
    <w:rsid w:val="00D65915"/>
    <w:rsid w:val="00D67CB6"/>
    <w:rsid w:val="00D708C6"/>
    <w:rsid w:val="00D7271E"/>
    <w:rsid w:val="00D72C2B"/>
    <w:rsid w:val="00D72DB5"/>
    <w:rsid w:val="00D75443"/>
    <w:rsid w:val="00D763F5"/>
    <w:rsid w:val="00D77126"/>
    <w:rsid w:val="00D96634"/>
    <w:rsid w:val="00DA11FB"/>
    <w:rsid w:val="00DA3814"/>
    <w:rsid w:val="00DA460B"/>
    <w:rsid w:val="00DA4D56"/>
    <w:rsid w:val="00DA5281"/>
    <w:rsid w:val="00DA5A38"/>
    <w:rsid w:val="00DA7A95"/>
    <w:rsid w:val="00DA7DD6"/>
    <w:rsid w:val="00DB150B"/>
    <w:rsid w:val="00DB69F8"/>
    <w:rsid w:val="00DB7083"/>
    <w:rsid w:val="00DB74D9"/>
    <w:rsid w:val="00DB7F01"/>
    <w:rsid w:val="00DC0A58"/>
    <w:rsid w:val="00DC48D1"/>
    <w:rsid w:val="00DC6781"/>
    <w:rsid w:val="00DD13EE"/>
    <w:rsid w:val="00DD3D11"/>
    <w:rsid w:val="00DD5458"/>
    <w:rsid w:val="00DD701F"/>
    <w:rsid w:val="00DE1838"/>
    <w:rsid w:val="00DE32CB"/>
    <w:rsid w:val="00DF2E14"/>
    <w:rsid w:val="00DF3DF2"/>
    <w:rsid w:val="00DF55A1"/>
    <w:rsid w:val="00DF60F3"/>
    <w:rsid w:val="00E0495E"/>
    <w:rsid w:val="00E050F6"/>
    <w:rsid w:val="00E10DBC"/>
    <w:rsid w:val="00E127CC"/>
    <w:rsid w:val="00E13060"/>
    <w:rsid w:val="00E15D98"/>
    <w:rsid w:val="00E16579"/>
    <w:rsid w:val="00E23739"/>
    <w:rsid w:val="00E2420E"/>
    <w:rsid w:val="00E244CF"/>
    <w:rsid w:val="00E26BCE"/>
    <w:rsid w:val="00E26E78"/>
    <w:rsid w:val="00E300C7"/>
    <w:rsid w:val="00E30DF3"/>
    <w:rsid w:val="00E34437"/>
    <w:rsid w:val="00E344E9"/>
    <w:rsid w:val="00E37FEE"/>
    <w:rsid w:val="00E43CAC"/>
    <w:rsid w:val="00E44EA3"/>
    <w:rsid w:val="00E47CF5"/>
    <w:rsid w:val="00E547B8"/>
    <w:rsid w:val="00E56013"/>
    <w:rsid w:val="00E5604E"/>
    <w:rsid w:val="00E60340"/>
    <w:rsid w:val="00E6140F"/>
    <w:rsid w:val="00E62D31"/>
    <w:rsid w:val="00E62F06"/>
    <w:rsid w:val="00E651A2"/>
    <w:rsid w:val="00E725E4"/>
    <w:rsid w:val="00E7272F"/>
    <w:rsid w:val="00E74ADE"/>
    <w:rsid w:val="00E761DA"/>
    <w:rsid w:val="00E80D8A"/>
    <w:rsid w:val="00E84F39"/>
    <w:rsid w:val="00E853B4"/>
    <w:rsid w:val="00E86FB5"/>
    <w:rsid w:val="00E91526"/>
    <w:rsid w:val="00E93087"/>
    <w:rsid w:val="00E963CA"/>
    <w:rsid w:val="00E96E96"/>
    <w:rsid w:val="00EA2D2A"/>
    <w:rsid w:val="00EA5576"/>
    <w:rsid w:val="00EA5CE4"/>
    <w:rsid w:val="00EA5D0D"/>
    <w:rsid w:val="00EB017D"/>
    <w:rsid w:val="00EB3155"/>
    <w:rsid w:val="00EB3431"/>
    <w:rsid w:val="00EB3F8F"/>
    <w:rsid w:val="00EB50F7"/>
    <w:rsid w:val="00EC3941"/>
    <w:rsid w:val="00EC7716"/>
    <w:rsid w:val="00ED1465"/>
    <w:rsid w:val="00ED21B2"/>
    <w:rsid w:val="00ED53D1"/>
    <w:rsid w:val="00ED7EE7"/>
    <w:rsid w:val="00ED7F1A"/>
    <w:rsid w:val="00EE0BBB"/>
    <w:rsid w:val="00EE48F4"/>
    <w:rsid w:val="00EF0B91"/>
    <w:rsid w:val="00EF20C5"/>
    <w:rsid w:val="00F020AC"/>
    <w:rsid w:val="00F0268F"/>
    <w:rsid w:val="00F02B65"/>
    <w:rsid w:val="00F05124"/>
    <w:rsid w:val="00F133DE"/>
    <w:rsid w:val="00F1436C"/>
    <w:rsid w:val="00F15302"/>
    <w:rsid w:val="00F1575C"/>
    <w:rsid w:val="00F16973"/>
    <w:rsid w:val="00F20E99"/>
    <w:rsid w:val="00F20F21"/>
    <w:rsid w:val="00F23B77"/>
    <w:rsid w:val="00F243C7"/>
    <w:rsid w:val="00F37A41"/>
    <w:rsid w:val="00F37F69"/>
    <w:rsid w:val="00F41A1C"/>
    <w:rsid w:val="00F44C2E"/>
    <w:rsid w:val="00F47C34"/>
    <w:rsid w:val="00F500E5"/>
    <w:rsid w:val="00F504F8"/>
    <w:rsid w:val="00F50CE1"/>
    <w:rsid w:val="00F60CA6"/>
    <w:rsid w:val="00F62DD6"/>
    <w:rsid w:val="00F630A2"/>
    <w:rsid w:val="00F636C1"/>
    <w:rsid w:val="00F64E3A"/>
    <w:rsid w:val="00F65AC8"/>
    <w:rsid w:val="00F65CDB"/>
    <w:rsid w:val="00F66807"/>
    <w:rsid w:val="00F672A0"/>
    <w:rsid w:val="00F72599"/>
    <w:rsid w:val="00F77266"/>
    <w:rsid w:val="00F80704"/>
    <w:rsid w:val="00F822E8"/>
    <w:rsid w:val="00F82CBE"/>
    <w:rsid w:val="00F85024"/>
    <w:rsid w:val="00F85BB4"/>
    <w:rsid w:val="00F901E1"/>
    <w:rsid w:val="00F94F19"/>
    <w:rsid w:val="00F950CA"/>
    <w:rsid w:val="00FA34CE"/>
    <w:rsid w:val="00FA35E7"/>
    <w:rsid w:val="00FA3F1B"/>
    <w:rsid w:val="00FA4F7D"/>
    <w:rsid w:val="00FB465C"/>
    <w:rsid w:val="00FB575E"/>
    <w:rsid w:val="00FB6479"/>
    <w:rsid w:val="00FC05CA"/>
    <w:rsid w:val="00FC46ED"/>
    <w:rsid w:val="00FC5999"/>
    <w:rsid w:val="00FC60B6"/>
    <w:rsid w:val="00FC6206"/>
    <w:rsid w:val="00FC64DE"/>
    <w:rsid w:val="00FC7A51"/>
    <w:rsid w:val="00FD402E"/>
    <w:rsid w:val="00FD6087"/>
    <w:rsid w:val="00FD68E4"/>
    <w:rsid w:val="00FD6F93"/>
    <w:rsid w:val="00FD7372"/>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169">
      <w:bodyDiv w:val="1"/>
      <w:marLeft w:val="0"/>
      <w:marRight w:val="0"/>
      <w:marTop w:val="0"/>
      <w:marBottom w:val="0"/>
      <w:divBdr>
        <w:top w:val="none" w:sz="0" w:space="0" w:color="auto"/>
        <w:left w:val="none" w:sz="0" w:space="0" w:color="auto"/>
        <w:bottom w:val="none" w:sz="0" w:space="0" w:color="auto"/>
        <w:right w:val="none" w:sz="0" w:space="0" w:color="auto"/>
      </w:divBdr>
    </w:div>
    <w:div w:id="417026257">
      <w:bodyDiv w:val="1"/>
      <w:marLeft w:val="0"/>
      <w:marRight w:val="0"/>
      <w:marTop w:val="0"/>
      <w:marBottom w:val="0"/>
      <w:divBdr>
        <w:top w:val="none" w:sz="0" w:space="0" w:color="auto"/>
        <w:left w:val="none" w:sz="0" w:space="0" w:color="auto"/>
        <w:bottom w:val="none" w:sz="0" w:space="0" w:color="auto"/>
        <w:right w:val="none" w:sz="0" w:space="0" w:color="auto"/>
      </w:divBdr>
    </w:div>
    <w:div w:id="596863594">
      <w:bodyDiv w:val="1"/>
      <w:marLeft w:val="0"/>
      <w:marRight w:val="0"/>
      <w:marTop w:val="0"/>
      <w:marBottom w:val="0"/>
      <w:divBdr>
        <w:top w:val="none" w:sz="0" w:space="0" w:color="auto"/>
        <w:left w:val="none" w:sz="0" w:space="0" w:color="auto"/>
        <w:bottom w:val="none" w:sz="0" w:space="0" w:color="auto"/>
        <w:right w:val="none" w:sz="0" w:space="0" w:color="auto"/>
      </w:divBdr>
    </w:div>
    <w:div w:id="743530563">
      <w:bodyDiv w:val="1"/>
      <w:marLeft w:val="0"/>
      <w:marRight w:val="0"/>
      <w:marTop w:val="0"/>
      <w:marBottom w:val="0"/>
      <w:divBdr>
        <w:top w:val="none" w:sz="0" w:space="0" w:color="auto"/>
        <w:left w:val="none" w:sz="0" w:space="0" w:color="auto"/>
        <w:bottom w:val="none" w:sz="0" w:space="0" w:color="auto"/>
        <w:right w:val="none" w:sz="0" w:space="0" w:color="auto"/>
      </w:divBdr>
    </w:div>
    <w:div w:id="745033209">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58539">
      <w:bodyDiv w:val="1"/>
      <w:marLeft w:val="0"/>
      <w:marRight w:val="0"/>
      <w:marTop w:val="0"/>
      <w:marBottom w:val="0"/>
      <w:divBdr>
        <w:top w:val="none" w:sz="0" w:space="0" w:color="auto"/>
        <w:left w:val="none" w:sz="0" w:space="0" w:color="auto"/>
        <w:bottom w:val="none" w:sz="0" w:space="0" w:color="auto"/>
        <w:right w:val="none" w:sz="0" w:space="0" w:color="auto"/>
      </w:divBdr>
    </w:div>
    <w:div w:id="1035426905">
      <w:bodyDiv w:val="1"/>
      <w:marLeft w:val="0"/>
      <w:marRight w:val="0"/>
      <w:marTop w:val="0"/>
      <w:marBottom w:val="0"/>
      <w:divBdr>
        <w:top w:val="none" w:sz="0" w:space="0" w:color="auto"/>
        <w:left w:val="none" w:sz="0" w:space="0" w:color="auto"/>
        <w:bottom w:val="none" w:sz="0" w:space="0" w:color="auto"/>
        <w:right w:val="none" w:sz="0" w:space="0" w:color="auto"/>
      </w:divBdr>
    </w:div>
    <w:div w:id="1208564991">
      <w:bodyDiv w:val="1"/>
      <w:marLeft w:val="0"/>
      <w:marRight w:val="0"/>
      <w:marTop w:val="0"/>
      <w:marBottom w:val="0"/>
      <w:divBdr>
        <w:top w:val="none" w:sz="0" w:space="0" w:color="auto"/>
        <w:left w:val="none" w:sz="0" w:space="0" w:color="auto"/>
        <w:bottom w:val="none" w:sz="0" w:space="0" w:color="auto"/>
        <w:right w:val="none" w:sz="0" w:space="0" w:color="auto"/>
      </w:divBdr>
    </w:div>
    <w:div w:id="1755589752">
      <w:bodyDiv w:val="1"/>
      <w:marLeft w:val="0"/>
      <w:marRight w:val="0"/>
      <w:marTop w:val="0"/>
      <w:marBottom w:val="0"/>
      <w:divBdr>
        <w:top w:val="none" w:sz="0" w:space="0" w:color="auto"/>
        <w:left w:val="none" w:sz="0" w:space="0" w:color="auto"/>
        <w:bottom w:val="none" w:sz="0" w:space="0" w:color="auto"/>
        <w:right w:val="none" w:sz="0" w:space="0" w:color="auto"/>
      </w:divBdr>
    </w:div>
    <w:div w:id="2146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D277-55B0-6042-B4E0-16AD095D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7152</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20140306 - Teddy's Little Treasures (STR0008) - Decision Notice</vt:lpstr>
    </vt:vector>
  </TitlesOfParts>
  <Manager>Megan.Alston@acecqa.gov.au</Manager>
  <Company>ACECQA</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20140306 - Teddy's Little Treasures (STR0008) - Decision Notice</dc:title>
  <dc:subject>Decision notice</dc:subject>
  <dc:creator>Neha.Grover@acecqa.gov.au;Phil.Dixon@acecqa.gov.au</dc:creator>
  <cp:keywords>Second tier review; decision notice</cp:keywords>
  <cp:lastModifiedBy>Joanna Jonson</cp:lastModifiedBy>
  <cp:revision>2</cp:revision>
  <cp:lastPrinted>2013-08-06T00:43:00Z</cp:lastPrinted>
  <dcterms:created xsi:type="dcterms:W3CDTF">2014-09-23T04:48:00Z</dcterms:created>
  <dcterms:modified xsi:type="dcterms:W3CDTF">2014-09-23T04:48:00Z</dcterms:modified>
  <cp:category>Second tier review</cp:category>
  <cp:contentStatus>Draft</cp:contentStatus>
</cp:coreProperties>
</file>