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5C08" w:rsidRDefault="009E5C08" w:rsidP="00C24157">
      <w:pPr>
        <w:pStyle w:val="Subtitle"/>
        <w:tabs>
          <w:tab w:val="left" w:pos="720"/>
          <w:tab w:val="left" w:pos="1440"/>
          <w:tab w:val="left" w:pos="2160"/>
          <w:tab w:val="left" w:pos="2880"/>
          <w:tab w:val="left" w:pos="3600"/>
          <w:tab w:val="left" w:pos="4320"/>
          <w:tab w:val="left" w:pos="4767"/>
        </w:tabs>
        <w:spacing w:after="0"/>
        <w:rPr>
          <w:b/>
          <w:i w:val="0"/>
          <w:color w:val="auto"/>
          <w:spacing w:val="0"/>
          <w:sz w:val="32"/>
          <w:szCs w:val="32"/>
          <w14:cntxtAlts/>
        </w:rPr>
      </w:pPr>
      <w:r w:rsidRPr="003411DD">
        <w:rPr>
          <w:b/>
          <w:i w:val="0"/>
          <w:noProof/>
          <w:color w:val="auto"/>
          <w:spacing w:val="0"/>
          <w:sz w:val="32"/>
          <w:szCs w:val="32"/>
          <w:lang w:val="en-US" w:eastAsia="en-US"/>
          <w14:cntxtAlts/>
        </w:rPr>
        <mc:AlternateContent>
          <mc:Choice Requires="wps">
            <w:drawing>
              <wp:anchor distT="0" distB="0" distL="114300" distR="114300" simplePos="0" relativeHeight="251658752" behindDoc="0" locked="0" layoutInCell="1" allowOverlap="1" wp14:anchorId="1000BAD6" wp14:editId="070C665B">
                <wp:simplePos x="0" y="0"/>
                <wp:positionH relativeFrom="column">
                  <wp:posOffset>4104005</wp:posOffset>
                </wp:positionH>
                <wp:positionV relativeFrom="paragraph">
                  <wp:posOffset>-950595</wp:posOffset>
                </wp:positionV>
                <wp:extent cx="2403475" cy="7715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4157" w:rsidRPr="00384A60" w:rsidRDefault="00C24157" w:rsidP="00C24157">
                            <w:pPr>
                              <w:rPr>
                                <w:rFonts w:cs="Arial"/>
                                <w:b/>
                                <w:color w:val="FFFFFF" w:themeColor="background1"/>
                                <w:sz w:val="28"/>
                                <w:szCs w:val="28"/>
                              </w:rPr>
                            </w:pPr>
                            <w:r w:rsidRPr="00384A60">
                              <w:rPr>
                                <w:rFonts w:cs="Arial"/>
                                <w:b/>
                                <w:color w:val="FFFFFF" w:themeColor="background1"/>
                                <w:sz w:val="28"/>
                                <w:szCs w:val="28"/>
                              </w:rPr>
                              <w:t>Ratings Review Panel</w:t>
                            </w:r>
                          </w:p>
                          <w:p w:rsidR="00C24157" w:rsidRPr="00384A60" w:rsidRDefault="00C24157" w:rsidP="00C24157">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3.15pt;margin-top:-74.85pt;width:189.2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Epg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" fillcolor="#49a942" stroked="f" strokeweight="2pt">
                <v:path arrowok="t"/>
                <v:textbox>
                  <w:txbxContent>
                    <w:p w:rsidR="00C24157" w:rsidRPr="00384A60" w:rsidRDefault="00C24157" w:rsidP="00C24157">
                      <w:pPr>
                        <w:rPr>
                          <w:rFonts w:cs="Arial"/>
                          <w:b/>
                          <w:color w:val="FFFFFF" w:themeColor="background1"/>
                          <w:sz w:val="28"/>
                          <w:szCs w:val="28"/>
                        </w:rPr>
                      </w:pPr>
                      <w:r w:rsidRPr="00384A60">
                        <w:rPr>
                          <w:rFonts w:cs="Arial"/>
                          <w:b/>
                          <w:color w:val="FFFFFF" w:themeColor="background1"/>
                          <w:sz w:val="28"/>
                          <w:szCs w:val="28"/>
                        </w:rPr>
                        <w:t>Ratings Review Panel</w:t>
                      </w:r>
                    </w:p>
                    <w:p w:rsidR="00C24157" w:rsidRPr="00384A60" w:rsidRDefault="00C24157" w:rsidP="00C24157">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p>
    <w:p w:rsidR="009E5C08" w:rsidRDefault="009E5C08" w:rsidP="00C24157">
      <w:pPr>
        <w:pStyle w:val="Subtitle"/>
        <w:tabs>
          <w:tab w:val="left" w:pos="720"/>
          <w:tab w:val="left" w:pos="1440"/>
          <w:tab w:val="left" w:pos="2160"/>
          <w:tab w:val="left" w:pos="2880"/>
          <w:tab w:val="left" w:pos="3600"/>
          <w:tab w:val="left" w:pos="4320"/>
          <w:tab w:val="left" w:pos="4767"/>
        </w:tabs>
        <w:spacing w:after="0"/>
        <w:rPr>
          <w:b/>
          <w:i w:val="0"/>
          <w:color w:val="auto"/>
          <w:spacing w:val="0"/>
          <w:sz w:val="32"/>
          <w:szCs w:val="32"/>
          <w14:cntxtAlts/>
        </w:rPr>
      </w:pPr>
      <w:r>
        <w:rPr>
          <w:b/>
          <w:i w:val="0"/>
          <w:color w:val="auto"/>
          <w:spacing w:val="0"/>
          <w:sz w:val="32"/>
          <w:szCs w:val="32"/>
          <w14:cntxtAlts/>
        </w:rPr>
        <w:t>‘Approved provider’ and NSW Department of Education a</w:t>
      </w:r>
      <w:r w:rsidR="00246F5D">
        <w:rPr>
          <w:b/>
          <w:i w:val="0"/>
          <w:color w:val="auto"/>
          <w:spacing w:val="0"/>
          <w:sz w:val="32"/>
          <w:szCs w:val="32"/>
          <w14:cntxtAlts/>
        </w:rPr>
        <w:t xml:space="preserve">nd Communities [2014] ACECQARRP </w:t>
      </w:r>
      <w:r>
        <w:rPr>
          <w:b/>
          <w:i w:val="0"/>
          <w:color w:val="auto"/>
          <w:spacing w:val="0"/>
          <w:sz w:val="32"/>
          <w:szCs w:val="32"/>
          <w14:cntxtAlts/>
        </w:rPr>
        <w:t>STR0013 (9 September 2014)</w:t>
      </w:r>
    </w:p>
    <w:p w:rsidR="009E5C08" w:rsidRPr="009E5C08" w:rsidRDefault="009E5C08" w:rsidP="009E5C08">
      <w:pPr>
        <w:rPr>
          <w:rFonts w:cs="Arial"/>
          <w:sz w:val="24"/>
          <w:szCs w:val="24"/>
        </w:rPr>
      </w:pPr>
      <w:r w:rsidRPr="009E5C08">
        <w:rPr>
          <w:rFonts w:cs="Arial"/>
          <w:b/>
          <w:sz w:val="24"/>
          <w:szCs w:val="24"/>
        </w:rPr>
        <w:t>Applicant:</w:t>
      </w:r>
      <w:r w:rsidRPr="009E5C08">
        <w:rPr>
          <w:rFonts w:cs="Arial"/>
          <w:b/>
          <w:sz w:val="24"/>
          <w:szCs w:val="24"/>
        </w:rPr>
        <w:tab/>
      </w:r>
      <w:r w:rsidRPr="009E5C08">
        <w:rPr>
          <w:rFonts w:cs="Arial"/>
          <w:sz w:val="24"/>
          <w:szCs w:val="24"/>
        </w:rPr>
        <w:tab/>
      </w:r>
      <w:r w:rsidRPr="009E5C08">
        <w:rPr>
          <w:rFonts w:cs="Arial"/>
          <w:sz w:val="24"/>
          <w:szCs w:val="24"/>
        </w:rPr>
        <w:tab/>
      </w:r>
      <w:r w:rsidRPr="009E5C08">
        <w:rPr>
          <w:rFonts w:cs="Arial"/>
          <w:sz w:val="24"/>
          <w:szCs w:val="24"/>
        </w:rPr>
        <w:tab/>
        <w:t>‘Approved Provider’</w:t>
      </w:r>
    </w:p>
    <w:p w:rsidR="009E5C08" w:rsidRPr="009E5C08" w:rsidRDefault="009E5C08" w:rsidP="009E5C08">
      <w:pPr>
        <w:rPr>
          <w:rFonts w:cs="Arial"/>
          <w:sz w:val="24"/>
          <w:szCs w:val="24"/>
        </w:rPr>
      </w:pPr>
      <w:r w:rsidRPr="009E5C08">
        <w:rPr>
          <w:rFonts w:cs="Arial"/>
          <w:b/>
          <w:sz w:val="24"/>
          <w:szCs w:val="24"/>
        </w:rPr>
        <w:t>Regulatory authority:</w:t>
      </w:r>
      <w:r w:rsidRPr="009E5C08">
        <w:rPr>
          <w:rFonts w:cs="Arial"/>
          <w:b/>
          <w:sz w:val="24"/>
          <w:szCs w:val="24"/>
        </w:rPr>
        <w:tab/>
      </w:r>
      <w:r w:rsidRPr="009E5C08">
        <w:rPr>
          <w:rFonts w:cs="Arial"/>
          <w:b/>
          <w:sz w:val="24"/>
          <w:szCs w:val="24"/>
        </w:rPr>
        <w:tab/>
      </w:r>
      <w:r w:rsidRPr="009E5C08">
        <w:rPr>
          <w:rFonts w:cs="Arial"/>
          <w:sz w:val="24"/>
          <w:szCs w:val="24"/>
        </w:rPr>
        <w:t>NSW Department of Education and Communities</w:t>
      </w:r>
    </w:p>
    <w:p w:rsidR="00C24157" w:rsidRPr="009E5C08" w:rsidRDefault="009E5C08" w:rsidP="009E5C08">
      <w:pPr>
        <w:rPr>
          <w:rFonts w:cs="Arial"/>
          <w:sz w:val="24"/>
          <w:szCs w:val="24"/>
          <w14:cntxtAlts/>
        </w:rPr>
      </w:pPr>
      <w:r w:rsidRPr="009E5C08">
        <w:rPr>
          <w:rFonts w:cs="Arial"/>
          <w:b/>
          <w:sz w:val="24"/>
          <w:szCs w:val="24"/>
          <w14:cntxtAlts/>
        </w:rPr>
        <w:t>Decision date</w:t>
      </w:r>
      <w:r w:rsidR="00C24157" w:rsidRPr="009E5C08">
        <w:rPr>
          <w:rFonts w:cs="Arial"/>
          <w:b/>
          <w:sz w:val="24"/>
          <w:szCs w:val="24"/>
          <w14:cntxtAlts/>
        </w:rPr>
        <w:t xml:space="preserve">:        </w:t>
      </w:r>
      <w:r w:rsidR="00C24157" w:rsidRPr="009E5C08">
        <w:rPr>
          <w:rFonts w:cs="Arial"/>
          <w:b/>
          <w:sz w:val="24"/>
          <w:szCs w:val="24"/>
          <w14:cntxtAlts/>
        </w:rPr>
        <w:tab/>
      </w:r>
      <w:r w:rsidRPr="009E5C08">
        <w:rPr>
          <w:rFonts w:cs="Arial"/>
          <w:b/>
          <w:i/>
          <w:sz w:val="24"/>
          <w:szCs w:val="24"/>
          <w14:cntxtAlts/>
        </w:rPr>
        <w:tab/>
      </w:r>
      <w:r w:rsidR="00C24157" w:rsidRPr="009E5C08">
        <w:rPr>
          <w:rFonts w:cs="Arial"/>
          <w:sz w:val="24"/>
          <w:szCs w:val="24"/>
          <w14:cntxtAlts/>
        </w:rPr>
        <w:t>9 September 2014</w:t>
      </w:r>
    </w:p>
    <w:p w:rsidR="00C24157" w:rsidRPr="009E5C08" w:rsidRDefault="009E5C08" w:rsidP="009E5C08">
      <w:pPr>
        <w:rPr>
          <w:rFonts w:cs="Arial"/>
          <w:sz w:val="24"/>
          <w:szCs w:val="24"/>
          <w14:cntxtAlts/>
        </w:rPr>
      </w:pPr>
      <w:r w:rsidRPr="009E5C08">
        <w:rPr>
          <w:rFonts w:cs="Arial"/>
          <w:b/>
          <w:sz w:val="24"/>
          <w:szCs w:val="24"/>
          <w14:cntxtAlts/>
        </w:rPr>
        <w:t>Application reference:</w:t>
      </w:r>
      <w:r w:rsidRPr="009E5C08">
        <w:rPr>
          <w:rFonts w:cs="Arial"/>
          <w:sz w:val="24"/>
          <w:szCs w:val="24"/>
          <w14:cntxtAlts/>
        </w:rPr>
        <w:t xml:space="preserve"> </w:t>
      </w:r>
      <w:r w:rsidRPr="009E5C08">
        <w:rPr>
          <w:rFonts w:cs="Arial"/>
          <w:sz w:val="24"/>
          <w:szCs w:val="24"/>
          <w14:cntxtAlts/>
        </w:rPr>
        <w:tab/>
      </w:r>
      <w:r w:rsidRPr="009E5C08">
        <w:rPr>
          <w:rFonts w:cs="Arial"/>
          <w:sz w:val="24"/>
          <w:szCs w:val="24"/>
          <w14:cntxtAlts/>
        </w:rPr>
        <w:tab/>
      </w:r>
      <w:r w:rsidR="00C24157" w:rsidRPr="009E5C08">
        <w:rPr>
          <w:rFonts w:cs="Arial"/>
          <w:sz w:val="24"/>
          <w:szCs w:val="24"/>
          <w14:cntxtAlts/>
        </w:rPr>
        <w:t>STR0013</w:t>
      </w:r>
    </w:p>
    <w:p w:rsidR="00C24157" w:rsidRPr="003411DD" w:rsidRDefault="00C24157" w:rsidP="00C24157">
      <w:pPr>
        <w:pStyle w:val="Horizontalline"/>
        <w:spacing w:line="276" w:lineRule="auto"/>
        <w:rPr>
          <w14:cntxtAlts/>
        </w:rPr>
      </w:pPr>
    </w:p>
    <w:p w:rsidR="00C24157" w:rsidRPr="00147535" w:rsidRDefault="00C24157" w:rsidP="00C24157">
      <w:pPr>
        <w:pStyle w:val="BodyText"/>
        <w:spacing w:line="276" w:lineRule="auto"/>
        <w:ind w:left="1440" w:hanging="1440"/>
        <w:rPr>
          <w:rFonts w:cs="Arial"/>
          <w:sz w:val="28"/>
          <w:szCs w:val="28"/>
          <w14:cntxtAlts/>
        </w:rPr>
      </w:pPr>
      <w:r w:rsidRPr="00147535">
        <w:rPr>
          <w:rStyle w:val="Strong"/>
          <w:rFonts w:cs="Arial"/>
          <w:sz w:val="28"/>
          <w:szCs w:val="28"/>
          <w14:cntxtAlts/>
        </w:rPr>
        <w:t>Decision</w:t>
      </w:r>
      <w:r w:rsidRPr="00147535">
        <w:rPr>
          <w:rFonts w:cs="Arial"/>
          <w:sz w:val="28"/>
          <w:szCs w:val="28"/>
          <w14:cntxtAlts/>
        </w:rPr>
        <w:tab/>
      </w:r>
    </w:p>
    <w:p w:rsidR="00C24157" w:rsidRDefault="00C24157" w:rsidP="00C24157">
      <w:pPr>
        <w:pStyle w:val="ListParagraph"/>
        <w:spacing w:before="0" w:after="0" w:line="240" w:lineRule="auto"/>
        <w:ind w:left="0"/>
        <w:rPr>
          <w:sz w:val="24"/>
          <w:szCs w:val="24"/>
        </w:rPr>
      </w:pPr>
      <w:r w:rsidRPr="00471FB9">
        <w:rPr>
          <w:rFonts w:cs="Arial"/>
          <w:sz w:val="24"/>
          <w:szCs w:val="24"/>
          <w14:cntxtAlts/>
        </w:rPr>
        <w:t xml:space="preserve">The Ratings Review Panel (the Panel) by consensus decided to confirm the assessment of elements </w:t>
      </w:r>
      <w:r>
        <w:rPr>
          <w:sz w:val="24"/>
          <w:szCs w:val="24"/>
        </w:rPr>
        <w:t xml:space="preserve">2.1.4 and 2.3.3 </w:t>
      </w:r>
      <w:r w:rsidRPr="00471FB9">
        <w:rPr>
          <w:rFonts w:cs="Arial"/>
          <w:sz w:val="24"/>
          <w:szCs w:val="24"/>
          <w14:cntxtAlts/>
        </w:rPr>
        <w:t>remain a</w:t>
      </w:r>
      <w:r>
        <w:rPr>
          <w:rFonts w:cs="Arial"/>
          <w:sz w:val="24"/>
          <w:szCs w:val="24"/>
          <w14:cntxtAlts/>
        </w:rPr>
        <w:t>t</w:t>
      </w:r>
      <w:r w:rsidRPr="00471FB9">
        <w:rPr>
          <w:rFonts w:cs="Arial"/>
          <w:sz w:val="24"/>
          <w:szCs w:val="24"/>
          <w14:cntxtAlts/>
        </w:rPr>
        <w:t xml:space="preserve"> ‘not met’. </w:t>
      </w:r>
    </w:p>
    <w:p w:rsidR="00C24157" w:rsidRDefault="00C24157" w:rsidP="00C24157">
      <w:pPr>
        <w:pStyle w:val="ListParagraph"/>
        <w:spacing w:before="0" w:after="0" w:line="240" w:lineRule="auto"/>
        <w:ind w:left="0"/>
        <w:rPr>
          <w:sz w:val="24"/>
          <w:szCs w:val="24"/>
        </w:rPr>
      </w:pPr>
    </w:p>
    <w:p w:rsidR="00C24157" w:rsidRPr="00471FB9" w:rsidRDefault="00C24157" w:rsidP="00C24157">
      <w:pPr>
        <w:pStyle w:val="ListParagraph"/>
        <w:spacing w:before="0" w:after="0" w:line="240" w:lineRule="auto"/>
        <w:ind w:left="0"/>
        <w:rPr>
          <w:sz w:val="24"/>
          <w:szCs w:val="24"/>
        </w:rPr>
      </w:pPr>
      <w:r w:rsidRPr="00471FB9">
        <w:rPr>
          <w:rFonts w:cs="Arial"/>
          <w:sz w:val="24"/>
          <w:szCs w:val="24"/>
          <w14:cntxtAlts/>
        </w:rPr>
        <w:t>As a result, the Panel by consensus confirmed the rating for s</w:t>
      </w:r>
      <w:r w:rsidRPr="00471FB9">
        <w:rPr>
          <w:sz w:val="24"/>
          <w:szCs w:val="24"/>
        </w:rPr>
        <w:t xml:space="preserve">tandards </w:t>
      </w:r>
      <w:r>
        <w:rPr>
          <w:sz w:val="24"/>
          <w:szCs w:val="24"/>
        </w:rPr>
        <w:t xml:space="preserve">2.1 and 2.3 </w:t>
      </w:r>
      <w:r w:rsidRPr="00471FB9">
        <w:rPr>
          <w:sz w:val="24"/>
          <w:szCs w:val="24"/>
        </w:rPr>
        <w:t>remain at ‘Working Towards NQS’.</w:t>
      </w:r>
    </w:p>
    <w:p w:rsidR="00C24157" w:rsidRDefault="00C24157" w:rsidP="00C24157">
      <w:pPr>
        <w:pStyle w:val="ListParagraph"/>
        <w:spacing w:before="0" w:after="0" w:line="240" w:lineRule="auto"/>
        <w:ind w:left="0"/>
        <w:rPr>
          <w:sz w:val="24"/>
          <w:szCs w:val="24"/>
        </w:rPr>
      </w:pPr>
    </w:p>
    <w:p w:rsidR="00C24157" w:rsidRDefault="00C24157" w:rsidP="00C24157">
      <w:pPr>
        <w:pStyle w:val="ListParagraph"/>
        <w:spacing w:before="0" w:after="0" w:line="240" w:lineRule="auto"/>
        <w:ind w:left="0"/>
        <w:rPr>
          <w:rFonts w:cs="Arial"/>
          <w:sz w:val="24"/>
          <w:szCs w:val="24"/>
          <w14:cntxtAlts/>
        </w:rPr>
      </w:pPr>
      <w:r>
        <w:rPr>
          <w:rStyle w:val="Strong"/>
          <w:rFonts w:cs="Arial"/>
          <w:b w:val="0"/>
          <w:sz w:val="24"/>
          <w:szCs w:val="24"/>
          <w14:cntxtAlts/>
        </w:rPr>
        <w:t>T</w:t>
      </w:r>
      <w:r w:rsidRPr="003411DD">
        <w:rPr>
          <w:rStyle w:val="Strong"/>
          <w:rFonts w:cs="Arial"/>
          <w:b w:val="0"/>
          <w:sz w:val="24"/>
          <w:szCs w:val="24"/>
          <w14:cntxtAlts/>
        </w:rPr>
        <w:t xml:space="preserve">he </w:t>
      </w:r>
      <w:r>
        <w:rPr>
          <w:rStyle w:val="Strong"/>
          <w:rFonts w:cs="Arial"/>
          <w:b w:val="0"/>
          <w:sz w:val="24"/>
          <w:szCs w:val="24"/>
          <w14:cntxtAlts/>
        </w:rPr>
        <w:t xml:space="preserve">Panel confirmed that the </w:t>
      </w:r>
      <w:r w:rsidRPr="003411DD">
        <w:rPr>
          <w:rStyle w:val="Strong"/>
          <w:rFonts w:cs="Arial"/>
          <w:b w:val="0"/>
          <w:sz w:val="24"/>
          <w:szCs w:val="24"/>
          <w14:cntxtAlts/>
        </w:rPr>
        <w:t>overall rating for the service</w:t>
      </w:r>
      <w:r>
        <w:rPr>
          <w:rStyle w:val="Strong"/>
          <w:rFonts w:cs="Arial"/>
          <w:b w:val="0"/>
          <w:sz w:val="24"/>
          <w:szCs w:val="24"/>
          <w14:cntxtAlts/>
        </w:rPr>
        <w:t xml:space="preserve"> remains at</w:t>
      </w:r>
      <w:r w:rsidRPr="003411DD">
        <w:rPr>
          <w:rStyle w:val="Strong"/>
          <w:rFonts w:cs="Arial"/>
          <w:b w:val="0"/>
          <w:sz w:val="24"/>
          <w:szCs w:val="24"/>
          <w14:cntxtAlts/>
        </w:rPr>
        <w:t xml:space="preserve"> ‘</w:t>
      </w:r>
      <w:r>
        <w:rPr>
          <w:rStyle w:val="Strong"/>
          <w:rFonts w:cs="Arial"/>
          <w:b w:val="0"/>
          <w:sz w:val="24"/>
          <w:szCs w:val="24"/>
          <w14:cntxtAlts/>
        </w:rPr>
        <w:t>Working Towards NQ</w:t>
      </w:r>
      <w:r w:rsidRPr="003411DD">
        <w:rPr>
          <w:rStyle w:val="Strong"/>
          <w:rFonts w:cs="Arial"/>
          <w:b w:val="0"/>
          <w:sz w:val="24"/>
          <w:szCs w:val="24"/>
          <w14:cntxtAlts/>
        </w:rPr>
        <w:t>S’</w:t>
      </w:r>
      <w:r w:rsidRPr="003411DD">
        <w:rPr>
          <w:rFonts w:cs="Arial"/>
          <w:sz w:val="24"/>
          <w:szCs w:val="24"/>
          <w14:cntxtAlts/>
        </w:rPr>
        <w:t>.</w:t>
      </w:r>
    </w:p>
    <w:p w:rsidR="00C24157" w:rsidRPr="003411DD" w:rsidRDefault="00C24157" w:rsidP="00C24157">
      <w:pPr>
        <w:pStyle w:val="ListNumber"/>
        <w:numPr>
          <w:ilvl w:val="0"/>
          <w:numId w:val="0"/>
        </w:numPr>
        <w:pBdr>
          <w:bottom w:val="single" w:sz="4" w:space="2" w:color="auto"/>
        </w:pBdr>
        <w:rPr>
          <w14:cntxtAlts/>
        </w:rPr>
      </w:pPr>
    </w:p>
    <w:p w:rsidR="00C24157" w:rsidRPr="002741E5" w:rsidRDefault="00C24157" w:rsidP="00C24157">
      <w:pPr>
        <w:spacing w:before="0" w:line="240" w:lineRule="auto"/>
        <w:rPr>
          <w:rFonts w:cs="Arial"/>
          <w:b/>
          <w:sz w:val="28"/>
          <w:szCs w:val="28"/>
          <w14:cntxtAlts/>
        </w:rPr>
      </w:pPr>
      <w:r w:rsidRPr="00D12D05">
        <w:rPr>
          <w:rFonts w:cs="Arial"/>
          <w:b/>
          <w:sz w:val="28"/>
          <w:szCs w:val="28"/>
          <w14:cntxtAlts/>
        </w:rPr>
        <w:t>Issues under review</w:t>
      </w:r>
    </w:p>
    <w:p w:rsidR="00C24157" w:rsidRDefault="00C24157" w:rsidP="00C24157">
      <w:pPr>
        <w:pStyle w:val="ListParagraph"/>
        <w:numPr>
          <w:ilvl w:val="0"/>
          <w:numId w:val="2"/>
        </w:numPr>
        <w:spacing w:before="0" w:after="0"/>
        <w:rPr>
          <w:sz w:val="24"/>
          <w:szCs w:val="24"/>
        </w:rPr>
      </w:pPr>
      <w:r w:rsidRPr="006925C0">
        <w:rPr>
          <w:sz w:val="24"/>
          <w:szCs w:val="24"/>
        </w:rPr>
        <w:t xml:space="preserve">The approved provider </w:t>
      </w:r>
      <w:r>
        <w:rPr>
          <w:sz w:val="24"/>
          <w:szCs w:val="24"/>
        </w:rPr>
        <w:t xml:space="preserve">(the provider) sought a review on the grounds that </w:t>
      </w:r>
      <w:r w:rsidRPr="00A15BEF">
        <w:rPr>
          <w:sz w:val="24"/>
          <w:szCs w:val="24"/>
        </w:rPr>
        <w:t>the regulatory authority</w:t>
      </w:r>
      <w:r>
        <w:rPr>
          <w:sz w:val="24"/>
          <w:szCs w:val="24"/>
        </w:rPr>
        <w:t>,</w:t>
      </w:r>
      <w:r w:rsidRPr="00A15BEF">
        <w:rPr>
          <w:sz w:val="24"/>
          <w:szCs w:val="24"/>
        </w:rPr>
        <w:t xml:space="preserve"> in making its determination, failed to take into account or give sufficient weight to </w:t>
      </w:r>
      <w:r>
        <w:rPr>
          <w:sz w:val="24"/>
          <w:szCs w:val="24"/>
        </w:rPr>
        <w:t xml:space="preserve">special circumstances existing or </w:t>
      </w:r>
      <w:r w:rsidRPr="00A15BEF">
        <w:rPr>
          <w:sz w:val="24"/>
          <w:szCs w:val="24"/>
        </w:rPr>
        <w:t>facts existing at the time of the rating assessm</w:t>
      </w:r>
      <w:r>
        <w:rPr>
          <w:sz w:val="24"/>
          <w:szCs w:val="24"/>
        </w:rPr>
        <w:t xml:space="preserve">ent (section 144(3)(b) </w:t>
      </w:r>
      <w:r w:rsidRPr="007400A6">
        <w:rPr>
          <w:i/>
          <w:sz w:val="24"/>
          <w:szCs w:val="24"/>
        </w:rPr>
        <w:t>Education and Care Services National Law</w:t>
      </w:r>
      <w:r w:rsidRPr="0085687B">
        <w:rPr>
          <w:sz w:val="24"/>
          <w:szCs w:val="24"/>
        </w:rPr>
        <w:t xml:space="preserve"> (National Law)</w:t>
      </w:r>
      <w:r w:rsidRPr="00DB5F05">
        <w:rPr>
          <w:sz w:val="24"/>
          <w:szCs w:val="24"/>
        </w:rPr>
        <w:t>).</w:t>
      </w:r>
    </w:p>
    <w:p w:rsidR="00C24157" w:rsidRDefault="00C24157" w:rsidP="00C24157">
      <w:pPr>
        <w:pStyle w:val="ListParagraph"/>
        <w:spacing w:before="0" w:after="0" w:line="240" w:lineRule="auto"/>
        <w:contextualSpacing w:val="0"/>
        <w:rPr>
          <w:sz w:val="24"/>
          <w:szCs w:val="24"/>
        </w:rPr>
      </w:pPr>
    </w:p>
    <w:p w:rsidR="00C24157" w:rsidRPr="009A175F" w:rsidRDefault="00C24157" w:rsidP="00C24157">
      <w:pPr>
        <w:pStyle w:val="ListParagraph"/>
        <w:numPr>
          <w:ilvl w:val="0"/>
          <w:numId w:val="2"/>
        </w:numPr>
        <w:spacing w:before="0" w:after="0" w:line="240" w:lineRule="auto"/>
        <w:contextualSpacing w:val="0"/>
        <w:rPr>
          <w:sz w:val="24"/>
          <w:szCs w:val="24"/>
        </w:rPr>
      </w:pPr>
      <w:r w:rsidRPr="009A175F">
        <w:rPr>
          <w:sz w:val="24"/>
          <w:szCs w:val="24"/>
        </w:rPr>
        <w:t>The</w:t>
      </w:r>
      <w:r>
        <w:rPr>
          <w:sz w:val="24"/>
          <w:szCs w:val="24"/>
        </w:rPr>
        <w:t xml:space="preserve"> provider</w:t>
      </w:r>
      <w:r w:rsidRPr="009A175F">
        <w:rPr>
          <w:sz w:val="24"/>
          <w:szCs w:val="24"/>
        </w:rPr>
        <w:t xml:space="preserve"> </w:t>
      </w:r>
      <w:r>
        <w:rPr>
          <w:sz w:val="24"/>
          <w:szCs w:val="24"/>
        </w:rPr>
        <w:t>sought</w:t>
      </w:r>
      <w:r w:rsidRPr="009A175F">
        <w:rPr>
          <w:sz w:val="24"/>
          <w:szCs w:val="24"/>
        </w:rPr>
        <w:t xml:space="preserve"> </w:t>
      </w:r>
      <w:r>
        <w:rPr>
          <w:sz w:val="24"/>
          <w:szCs w:val="24"/>
        </w:rPr>
        <w:t xml:space="preserve">a </w:t>
      </w:r>
      <w:r w:rsidRPr="009A175F">
        <w:rPr>
          <w:sz w:val="24"/>
          <w:szCs w:val="24"/>
        </w:rPr>
        <w:t>review of the following:</w:t>
      </w:r>
    </w:p>
    <w:p w:rsidR="00C24157" w:rsidRPr="009C2401" w:rsidRDefault="00C24157" w:rsidP="00C24157">
      <w:pPr>
        <w:pStyle w:val="ListParagraph"/>
        <w:numPr>
          <w:ilvl w:val="1"/>
          <w:numId w:val="2"/>
        </w:numPr>
        <w:spacing w:before="0" w:after="0" w:line="240" w:lineRule="auto"/>
        <w:rPr>
          <w:sz w:val="24"/>
          <w:szCs w:val="24"/>
        </w:rPr>
      </w:pPr>
      <w:r w:rsidRPr="009C2401">
        <w:rPr>
          <w:sz w:val="24"/>
          <w:szCs w:val="24"/>
        </w:rPr>
        <w:t xml:space="preserve">Quality Area 2, </w:t>
      </w:r>
      <w:r>
        <w:rPr>
          <w:sz w:val="24"/>
          <w:szCs w:val="24"/>
        </w:rPr>
        <w:t>standard 2.1 (element 2.1.4</w:t>
      </w:r>
      <w:r w:rsidRPr="009C2401">
        <w:rPr>
          <w:sz w:val="24"/>
          <w:szCs w:val="24"/>
        </w:rPr>
        <w:t>)</w:t>
      </w:r>
      <w:r>
        <w:rPr>
          <w:sz w:val="24"/>
          <w:szCs w:val="24"/>
        </w:rPr>
        <w:t xml:space="preserve"> and</w:t>
      </w:r>
      <w:r w:rsidRPr="009C2401">
        <w:rPr>
          <w:sz w:val="24"/>
          <w:szCs w:val="24"/>
        </w:rPr>
        <w:t xml:space="preserve"> standard 2.3 (element</w:t>
      </w:r>
      <w:r>
        <w:rPr>
          <w:sz w:val="24"/>
          <w:szCs w:val="24"/>
        </w:rPr>
        <w:t> </w:t>
      </w:r>
      <w:r w:rsidRPr="009C2401">
        <w:rPr>
          <w:sz w:val="24"/>
          <w:szCs w:val="24"/>
        </w:rPr>
        <w:t>2.3.3)</w:t>
      </w:r>
      <w:r>
        <w:rPr>
          <w:sz w:val="24"/>
          <w:szCs w:val="24"/>
        </w:rPr>
        <w:t>.</w:t>
      </w:r>
    </w:p>
    <w:p w:rsidR="00C24157" w:rsidRPr="006925C0" w:rsidRDefault="00C24157" w:rsidP="00C24157">
      <w:pPr>
        <w:pStyle w:val="ListParagraph"/>
        <w:spacing w:before="0" w:after="0" w:line="240" w:lineRule="auto"/>
        <w:contextualSpacing w:val="0"/>
        <w:rPr>
          <w:sz w:val="24"/>
          <w:szCs w:val="24"/>
        </w:rPr>
      </w:pPr>
    </w:p>
    <w:p w:rsidR="00C24157" w:rsidRPr="000D5AE0" w:rsidRDefault="00C24157" w:rsidP="00C24157">
      <w:pPr>
        <w:pStyle w:val="ListParagraph"/>
        <w:numPr>
          <w:ilvl w:val="0"/>
          <w:numId w:val="2"/>
        </w:numPr>
        <w:rPr>
          <w:sz w:val="24"/>
          <w:szCs w:val="24"/>
        </w:rPr>
      </w:pPr>
      <w:r w:rsidRPr="000D5AE0">
        <w:rPr>
          <w:sz w:val="24"/>
          <w:szCs w:val="24"/>
        </w:rPr>
        <w:t xml:space="preserve">After the initial assessment, the service was rated as 'Working Towards NQS' for standards 2.1, 2.3 and 4.1. The provider applied for first tier review. </w:t>
      </w:r>
    </w:p>
    <w:p w:rsidR="00C24157" w:rsidRDefault="00C24157" w:rsidP="00C24157">
      <w:pPr>
        <w:pStyle w:val="ListParagraph"/>
        <w:spacing w:before="0" w:after="0"/>
        <w:ind w:left="680"/>
        <w:rPr>
          <w:sz w:val="24"/>
          <w:szCs w:val="24"/>
        </w:rPr>
      </w:pPr>
    </w:p>
    <w:p w:rsidR="00C24157" w:rsidRPr="002741E5" w:rsidRDefault="00C24157" w:rsidP="00C24157">
      <w:pPr>
        <w:spacing w:before="0" w:line="240" w:lineRule="auto"/>
        <w:rPr>
          <w:rFonts w:cs="Arial"/>
          <w:b/>
          <w:sz w:val="24"/>
          <w:szCs w:val="24"/>
          <w14:cntxtAlts/>
        </w:rPr>
      </w:pPr>
      <w:r>
        <w:rPr>
          <w:rFonts w:cs="Arial"/>
          <w:b/>
          <w:sz w:val="24"/>
          <w:szCs w:val="24"/>
          <w14:cntxtAlts/>
        </w:rPr>
        <w:t>First tier</w:t>
      </w:r>
      <w:r w:rsidRPr="005E4700">
        <w:rPr>
          <w:rFonts w:cs="Arial"/>
          <w:b/>
          <w:sz w:val="24"/>
          <w:szCs w:val="24"/>
          <w14:cntxtAlts/>
        </w:rPr>
        <w:t xml:space="preserve"> </w:t>
      </w:r>
      <w:r>
        <w:rPr>
          <w:rFonts w:cs="Arial"/>
          <w:b/>
          <w:sz w:val="24"/>
          <w:szCs w:val="24"/>
          <w14:cntxtAlts/>
        </w:rPr>
        <w:t>re</w:t>
      </w:r>
      <w:r w:rsidRPr="005E4700">
        <w:rPr>
          <w:rFonts w:cs="Arial"/>
          <w:b/>
          <w:sz w:val="24"/>
          <w:szCs w:val="24"/>
          <w14:cntxtAlts/>
        </w:rPr>
        <w:t>view</w:t>
      </w:r>
    </w:p>
    <w:p w:rsidR="00C24157" w:rsidRPr="000D5AE0" w:rsidRDefault="00C24157" w:rsidP="00C24157">
      <w:pPr>
        <w:pStyle w:val="ListParagraph"/>
        <w:numPr>
          <w:ilvl w:val="0"/>
          <w:numId w:val="2"/>
        </w:numPr>
        <w:spacing w:before="0" w:after="0"/>
        <w:rPr>
          <w:sz w:val="24"/>
          <w:szCs w:val="24"/>
        </w:rPr>
      </w:pPr>
      <w:r w:rsidRPr="000D5AE0">
        <w:rPr>
          <w:sz w:val="24"/>
          <w:szCs w:val="24"/>
        </w:rPr>
        <w:t xml:space="preserve">At first tier review, the regulatory authority amended the rating for standard 4.1 to 'Meeting NQS', and confirmed the ratings for standards 2.1 and 2.3 as </w:t>
      </w:r>
      <w:r w:rsidRPr="000D5AE0">
        <w:rPr>
          <w:sz w:val="24"/>
          <w:szCs w:val="24"/>
        </w:rPr>
        <w:lastRenderedPageBreak/>
        <w:t>'Working Towards NQS'. As a result, the service's overall rating remained unchanged as 'Working Towards NQS'.</w:t>
      </w:r>
    </w:p>
    <w:p w:rsidR="00C24157" w:rsidRPr="000D5AE0" w:rsidRDefault="00C24157" w:rsidP="00C24157">
      <w:pPr>
        <w:pStyle w:val="ListParagraph"/>
        <w:spacing w:before="0" w:after="0" w:line="240" w:lineRule="auto"/>
        <w:ind w:left="680"/>
        <w:rPr>
          <w:sz w:val="24"/>
          <w:szCs w:val="24"/>
        </w:rPr>
      </w:pPr>
    </w:p>
    <w:p w:rsidR="00C24157" w:rsidRDefault="00C24157" w:rsidP="00C24157">
      <w:pPr>
        <w:spacing w:before="0" w:after="0" w:line="240" w:lineRule="auto"/>
        <w:rPr>
          <w:rFonts w:cs="Arial"/>
          <w:b/>
          <w:sz w:val="24"/>
          <w:szCs w:val="24"/>
          <w14:cntxtAlts/>
        </w:rPr>
      </w:pPr>
      <w:r w:rsidRPr="00D12D05">
        <w:rPr>
          <w:rFonts w:cs="Arial"/>
          <w:b/>
          <w:sz w:val="24"/>
          <w:szCs w:val="24"/>
          <w14:cntxtAlts/>
        </w:rPr>
        <w:t>Applicant’s view</w:t>
      </w:r>
    </w:p>
    <w:p w:rsidR="00C24157" w:rsidRPr="000D5AE0" w:rsidRDefault="00C24157" w:rsidP="00C24157">
      <w:pPr>
        <w:pStyle w:val="ListParagraph"/>
        <w:numPr>
          <w:ilvl w:val="0"/>
          <w:numId w:val="2"/>
        </w:numPr>
        <w:rPr>
          <w:rFonts w:cs="Arial"/>
          <w:color w:val="000000"/>
          <w:sz w:val="24"/>
          <w:szCs w:val="24"/>
        </w:rPr>
      </w:pPr>
      <w:r w:rsidRPr="000D5AE0">
        <w:rPr>
          <w:rFonts w:cs="Arial"/>
          <w:color w:val="000000"/>
          <w:sz w:val="24"/>
          <w:szCs w:val="24"/>
        </w:rPr>
        <w:t xml:space="preserve">The provider states in its application for second tier review that it believes the assessing authorised officer (the assessor) should have considered minor adjustments in its assessment of elements 2.1.4 and 2.3.3. The provider claims that there were immediate fixable issues identified for both these elements.  </w:t>
      </w:r>
    </w:p>
    <w:p w:rsidR="00C24157" w:rsidRPr="00D12D05" w:rsidRDefault="00C24157" w:rsidP="00C24157">
      <w:pPr>
        <w:spacing w:before="0" w:line="240" w:lineRule="auto"/>
        <w:rPr>
          <w:rFonts w:cs="Arial"/>
          <w:b/>
          <w:sz w:val="28"/>
          <w:szCs w:val="28"/>
          <w14:cntxtAlts/>
        </w:rPr>
      </w:pPr>
      <w:r w:rsidRPr="00D12D05">
        <w:rPr>
          <w:rFonts w:cs="Arial"/>
          <w:b/>
          <w:sz w:val="28"/>
          <w:szCs w:val="28"/>
          <w14:cntxtAlts/>
        </w:rPr>
        <w:t>Evidence before the panel</w:t>
      </w:r>
    </w:p>
    <w:p w:rsidR="00C24157" w:rsidRPr="00481993" w:rsidRDefault="00C24157" w:rsidP="00C24157">
      <w:pPr>
        <w:pStyle w:val="ListParagraph"/>
        <w:numPr>
          <w:ilvl w:val="0"/>
          <w:numId w:val="2"/>
        </w:numPr>
        <w:autoSpaceDE w:val="0"/>
        <w:autoSpaceDN w:val="0"/>
        <w:adjustRightInd w:val="0"/>
        <w:spacing w:before="0" w:after="0"/>
        <w:rPr>
          <w:rFonts w:cs="Arial"/>
          <w:color w:val="000000"/>
          <w:sz w:val="24"/>
          <w:szCs w:val="24"/>
        </w:rPr>
      </w:pPr>
      <w:r w:rsidRPr="00481993">
        <w:rPr>
          <w:rFonts w:cs="Arial"/>
          <w:color w:val="000000"/>
          <w:sz w:val="24"/>
          <w:szCs w:val="24"/>
        </w:rPr>
        <w:t>The Panel considered all the evidence submitted by the provider and the regulatory authority. This included:</w:t>
      </w:r>
    </w:p>
    <w:p w:rsidR="00C24157" w:rsidRPr="00627933" w:rsidRDefault="00C24157" w:rsidP="00C24157">
      <w:pPr>
        <w:pStyle w:val="ListParagraph"/>
        <w:numPr>
          <w:ilvl w:val="0"/>
          <w:numId w:val="4"/>
        </w:numPr>
        <w:spacing w:before="0" w:after="0" w:line="240" w:lineRule="auto"/>
        <w:contextualSpacing w:val="0"/>
        <w:rPr>
          <w:rFonts w:cs="Arial"/>
          <w:sz w:val="24"/>
          <w:szCs w:val="24"/>
          <w14:cntxtAlts/>
        </w:rPr>
      </w:pPr>
      <w:proofErr w:type="gramStart"/>
      <w:r w:rsidRPr="00627933">
        <w:rPr>
          <w:rFonts w:cs="Arial"/>
          <w:sz w:val="24"/>
          <w:szCs w:val="24"/>
          <w14:cntxtAlts/>
        </w:rPr>
        <w:t>the</w:t>
      </w:r>
      <w:proofErr w:type="gramEnd"/>
      <w:r w:rsidRPr="00627933">
        <w:rPr>
          <w:rFonts w:cs="Arial"/>
          <w:sz w:val="24"/>
          <w:szCs w:val="24"/>
          <w14:cntxtAlts/>
        </w:rPr>
        <w:t xml:space="preserve"> application for second </w:t>
      </w:r>
      <w:r>
        <w:rPr>
          <w:rFonts w:cs="Arial"/>
          <w:sz w:val="24"/>
          <w:szCs w:val="24"/>
          <w14:cntxtAlts/>
        </w:rPr>
        <w:t>tier review and its attachments</w:t>
      </w:r>
    </w:p>
    <w:p w:rsidR="00C24157" w:rsidRPr="00627933" w:rsidRDefault="00C24157" w:rsidP="00C24157">
      <w:pPr>
        <w:pStyle w:val="ListParagraph"/>
        <w:numPr>
          <w:ilvl w:val="0"/>
          <w:numId w:val="4"/>
        </w:numPr>
        <w:spacing w:before="0" w:after="0" w:line="240" w:lineRule="auto"/>
        <w:contextualSpacing w:val="0"/>
        <w:rPr>
          <w:rFonts w:cs="Arial"/>
          <w:sz w:val="24"/>
          <w:szCs w:val="24"/>
          <w14:cntxtAlts/>
        </w:rPr>
      </w:pPr>
      <w:proofErr w:type="gramStart"/>
      <w:r w:rsidRPr="00627933">
        <w:rPr>
          <w:rFonts w:cs="Arial"/>
          <w:sz w:val="24"/>
          <w:szCs w:val="24"/>
          <w14:cntxtAlts/>
        </w:rPr>
        <w:t>the</w:t>
      </w:r>
      <w:proofErr w:type="gramEnd"/>
      <w:r w:rsidRPr="00627933">
        <w:rPr>
          <w:rFonts w:cs="Arial"/>
          <w:sz w:val="24"/>
          <w:szCs w:val="24"/>
          <w14:cntxtAlts/>
        </w:rPr>
        <w:t xml:space="preserve"> </w:t>
      </w:r>
      <w:r>
        <w:rPr>
          <w:rFonts w:cs="Arial"/>
          <w:sz w:val="24"/>
          <w:szCs w:val="24"/>
          <w14:cntxtAlts/>
        </w:rPr>
        <w:t>Assessment and Rating I</w:t>
      </w:r>
      <w:r w:rsidRPr="00627933">
        <w:rPr>
          <w:rFonts w:cs="Arial"/>
          <w:sz w:val="24"/>
          <w:szCs w:val="24"/>
          <w14:cntxtAlts/>
        </w:rPr>
        <w:t>nstrument</w:t>
      </w:r>
      <w:r>
        <w:rPr>
          <w:rFonts w:cs="Arial"/>
          <w:sz w:val="24"/>
          <w:szCs w:val="24"/>
          <w14:cntxtAlts/>
        </w:rPr>
        <w:t xml:space="preserve"> (the Instrument)</w:t>
      </w:r>
      <w:r w:rsidRPr="00627933">
        <w:rPr>
          <w:rFonts w:cs="Arial"/>
          <w:sz w:val="24"/>
          <w:szCs w:val="24"/>
          <w14:cntxtAlts/>
        </w:rPr>
        <w:t xml:space="preserve"> and </w:t>
      </w:r>
      <w:r>
        <w:rPr>
          <w:rFonts w:cs="Arial"/>
          <w:sz w:val="24"/>
          <w:szCs w:val="24"/>
          <w14:cntxtAlts/>
        </w:rPr>
        <w:t>the final Assessment and Rating R</w:t>
      </w:r>
      <w:r w:rsidRPr="00627933">
        <w:rPr>
          <w:rFonts w:cs="Arial"/>
          <w:sz w:val="24"/>
          <w:szCs w:val="24"/>
          <w14:cntxtAlts/>
        </w:rPr>
        <w:t>eport</w:t>
      </w:r>
      <w:r>
        <w:rPr>
          <w:rFonts w:cs="Arial"/>
          <w:sz w:val="24"/>
          <w:szCs w:val="24"/>
          <w14:cntxtAlts/>
        </w:rPr>
        <w:t xml:space="preserve"> (final Report)</w:t>
      </w:r>
    </w:p>
    <w:p w:rsidR="00C24157" w:rsidRDefault="00C24157" w:rsidP="00C24157">
      <w:pPr>
        <w:pStyle w:val="ListParagraph"/>
        <w:numPr>
          <w:ilvl w:val="0"/>
          <w:numId w:val="4"/>
        </w:numPr>
        <w:spacing w:before="0" w:after="0" w:line="240" w:lineRule="auto"/>
        <w:contextualSpacing w:val="0"/>
        <w:rPr>
          <w:rFonts w:cs="Arial"/>
          <w:sz w:val="24"/>
          <w:szCs w:val="24"/>
          <w14:cntxtAlts/>
        </w:rPr>
      </w:pPr>
      <w:proofErr w:type="gramStart"/>
      <w:r>
        <w:rPr>
          <w:rFonts w:cs="Arial"/>
          <w:sz w:val="24"/>
          <w:szCs w:val="24"/>
          <w14:cntxtAlts/>
        </w:rPr>
        <w:t>the</w:t>
      </w:r>
      <w:proofErr w:type="gramEnd"/>
      <w:r>
        <w:rPr>
          <w:rFonts w:cs="Arial"/>
          <w:sz w:val="24"/>
          <w:szCs w:val="24"/>
          <w14:cntxtAlts/>
        </w:rPr>
        <w:t xml:space="preserve"> </w:t>
      </w:r>
      <w:r w:rsidRPr="00627933">
        <w:rPr>
          <w:rFonts w:cs="Arial"/>
          <w:sz w:val="24"/>
          <w:szCs w:val="24"/>
          <w14:cntxtAlts/>
        </w:rPr>
        <w:t>re</w:t>
      </w:r>
      <w:r>
        <w:rPr>
          <w:rFonts w:cs="Arial"/>
          <w:sz w:val="24"/>
          <w:szCs w:val="24"/>
          <w14:cntxtAlts/>
        </w:rPr>
        <w:t>gulatory authority’s findings at</w:t>
      </w:r>
      <w:r w:rsidRPr="00627933">
        <w:rPr>
          <w:rFonts w:cs="Arial"/>
          <w:sz w:val="24"/>
          <w:szCs w:val="24"/>
          <w14:cntxtAlts/>
        </w:rPr>
        <w:t xml:space="preserve"> first tier review</w:t>
      </w:r>
    </w:p>
    <w:p w:rsidR="00C24157" w:rsidRPr="00627933" w:rsidRDefault="00C24157" w:rsidP="00C24157">
      <w:pPr>
        <w:pStyle w:val="ListParagraph"/>
        <w:numPr>
          <w:ilvl w:val="0"/>
          <w:numId w:val="4"/>
        </w:numPr>
        <w:spacing w:before="0" w:after="0" w:line="240" w:lineRule="auto"/>
        <w:contextualSpacing w:val="0"/>
        <w:rPr>
          <w:rFonts w:cs="Arial"/>
          <w:sz w:val="24"/>
          <w:szCs w:val="24"/>
          <w14:cntxtAlts/>
        </w:rPr>
      </w:pPr>
      <w:proofErr w:type="gramStart"/>
      <w:r>
        <w:rPr>
          <w:rFonts w:cs="Arial"/>
          <w:sz w:val="24"/>
          <w:szCs w:val="24"/>
          <w14:cntxtAlts/>
        </w:rPr>
        <w:t>the</w:t>
      </w:r>
      <w:proofErr w:type="gramEnd"/>
      <w:r>
        <w:rPr>
          <w:rFonts w:cs="Arial"/>
          <w:sz w:val="24"/>
          <w:szCs w:val="24"/>
          <w14:cntxtAlts/>
        </w:rPr>
        <w:t xml:space="preserve"> regulatory authority’s submissions for second tier review</w:t>
      </w:r>
    </w:p>
    <w:p w:rsidR="00C24157" w:rsidRDefault="00C24157" w:rsidP="00C24157">
      <w:pPr>
        <w:pStyle w:val="ListParagraph"/>
        <w:numPr>
          <w:ilvl w:val="0"/>
          <w:numId w:val="4"/>
        </w:numPr>
        <w:spacing w:before="0" w:after="0" w:line="240" w:lineRule="auto"/>
        <w:contextualSpacing w:val="0"/>
        <w:rPr>
          <w:rFonts w:cs="Arial"/>
          <w:sz w:val="24"/>
          <w:szCs w:val="24"/>
          <w14:cntxtAlts/>
        </w:rPr>
      </w:pPr>
      <w:proofErr w:type="gramStart"/>
      <w:r w:rsidRPr="00627933">
        <w:rPr>
          <w:rFonts w:cs="Arial"/>
          <w:sz w:val="24"/>
          <w:szCs w:val="24"/>
          <w14:cntxtAlts/>
        </w:rPr>
        <w:t>the</w:t>
      </w:r>
      <w:proofErr w:type="gramEnd"/>
      <w:r w:rsidRPr="00627933">
        <w:rPr>
          <w:rFonts w:cs="Arial"/>
          <w:sz w:val="24"/>
          <w:szCs w:val="24"/>
          <w14:cntxtAlts/>
        </w:rPr>
        <w:t xml:space="preserve"> response from the provider to the regulatory authority’s </w:t>
      </w:r>
      <w:r>
        <w:rPr>
          <w:rFonts w:cs="Arial"/>
          <w:sz w:val="24"/>
          <w:szCs w:val="24"/>
          <w14:cntxtAlts/>
        </w:rPr>
        <w:t>submissions for second tier review.</w:t>
      </w:r>
    </w:p>
    <w:p w:rsidR="00C24157" w:rsidRPr="00A13EBF" w:rsidRDefault="00C24157" w:rsidP="00C24157">
      <w:pPr>
        <w:spacing w:before="0" w:after="0" w:line="240" w:lineRule="auto"/>
        <w:ind w:left="1080"/>
        <w:rPr>
          <w:rFonts w:cs="Arial"/>
          <w:sz w:val="24"/>
          <w:szCs w:val="24"/>
          <w14:cntxtAlts/>
        </w:rPr>
      </w:pPr>
    </w:p>
    <w:p w:rsidR="00C24157" w:rsidRDefault="00C24157" w:rsidP="00C24157">
      <w:pPr>
        <w:pStyle w:val="ListParagraph"/>
        <w:numPr>
          <w:ilvl w:val="0"/>
          <w:numId w:val="2"/>
        </w:numPr>
        <w:spacing w:before="0" w:after="0"/>
        <w:rPr>
          <w:sz w:val="24"/>
          <w:szCs w:val="24"/>
        </w:rPr>
      </w:pPr>
      <w:r w:rsidRPr="00274F70">
        <w:rPr>
          <w:sz w:val="24"/>
          <w:szCs w:val="24"/>
        </w:rPr>
        <w:t>The</w:t>
      </w:r>
      <w:r>
        <w:rPr>
          <w:sz w:val="24"/>
          <w:szCs w:val="24"/>
        </w:rPr>
        <w:t xml:space="preserve"> P</w:t>
      </w:r>
      <w:r w:rsidRPr="00274F70">
        <w:rPr>
          <w:sz w:val="24"/>
          <w:szCs w:val="24"/>
        </w:rPr>
        <w:t xml:space="preserve">anel was also provided with advice from ACECQA on the </w:t>
      </w:r>
      <w:r>
        <w:rPr>
          <w:sz w:val="24"/>
          <w:szCs w:val="24"/>
        </w:rPr>
        <w:t>elements and standards</w:t>
      </w:r>
      <w:r w:rsidRPr="00274F70">
        <w:rPr>
          <w:sz w:val="24"/>
          <w:szCs w:val="24"/>
        </w:rPr>
        <w:t xml:space="preserve"> under review.</w:t>
      </w:r>
    </w:p>
    <w:p w:rsidR="00C24157" w:rsidRPr="002741E5" w:rsidRDefault="00C24157" w:rsidP="00C24157">
      <w:pPr>
        <w:pStyle w:val="ListParagraph"/>
        <w:spacing w:before="0" w:after="0" w:line="240" w:lineRule="auto"/>
        <w:ind w:left="680"/>
        <w:contextualSpacing w:val="0"/>
        <w:rPr>
          <w:sz w:val="24"/>
          <w:szCs w:val="24"/>
        </w:rPr>
      </w:pPr>
    </w:p>
    <w:p w:rsidR="00C24157" w:rsidRPr="00D12D05" w:rsidRDefault="00C24157" w:rsidP="00C24157">
      <w:pPr>
        <w:spacing w:before="0" w:line="240" w:lineRule="auto"/>
        <w:rPr>
          <w:rFonts w:cs="Arial"/>
          <w:b/>
          <w:sz w:val="28"/>
          <w:szCs w:val="28"/>
          <w14:cntxtAlts/>
        </w:rPr>
      </w:pPr>
      <w:r w:rsidRPr="00D12D05">
        <w:rPr>
          <w:rFonts w:cs="Arial"/>
          <w:b/>
          <w:sz w:val="28"/>
          <w:szCs w:val="28"/>
          <w14:cntxtAlts/>
        </w:rPr>
        <w:t>The law</w:t>
      </w:r>
    </w:p>
    <w:p w:rsidR="00C24157" w:rsidRPr="00481993" w:rsidRDefault="00C24157" w:rsidP="00C24157">
      <w:pPr>
        <w:pStyle w:val="ListParagraph"/>
        <w:numPr>
          <w:ilvl w:val="0"/>
          <w:numId w:val="2"/>
        </w:numPr>
        <w:autoSpaceDE w:val="0"/>
        <w:autoSpaceDN w:val="0"/>
        <w:adjustRightInd w:val="0"/>
        <w:spacing w:before="0" w:after="0"/>
        <w:rPr>
          <w:rFonts w:cs="Arial"/>
          <w:color w:val="000000"/>
          <w:sz w:val="24"/>
          <w:szCs w:val="24"/>
        </w:rPr>
      </w:pPr>
      <w:r w:rsidRPr="00481993">
        <w:rPr>
          <w:rFonts w:cs="Arial"/>
          <w:color w:val="000000"/>
          <w:sz w:val="24"/>
          <w:szCs w:val="24"/>
        </w:rPr>
        <w:t>Section 151 of the National Law states that following a first tier review, the Ratings Review Panel may:</w:t>
      </w:r>
    </w:p>
    <w:p w:rsidR="00C24157" w:rsidRPr="003411DD" w:rsidRDefault="00C24157" w:rsidP="00C24157">
      <w:pPr>
        <w:pStyle w:val="ListParagraph"/>
        <w:spacing w:before="0" w:after="0" w:line="240" w:lineRule="auto"/>
        <w:ind w:right="-20" w:firstLine="720"/>
        <w:contextualSpacing w:val="0"/>
        <w:rPr>
          <w:rFonts w:eastAsia="Arial" w:cs="Arial"/>
          <w:sz w:val="24"/>
          <w:szCs w:val="24"/>
          <w14:cntxtAlts/>
        </w:rPr>
      </w:pPr>
      <w:r w:rsidRPr="003411DD">
        <w:rPr>
          <w:rFonts w:eastAsia="Arial" w:cs="Arial"/>
          <w:sz w:val="24"/>
          <w:szCs w:val="24"/>
          <w14:cntxtAlts/>
        </w:rPr>
        <w:t xml:space="preserve">(a) </w:t>
      </w:r>
      <w:proofErr w:type="gramStart"/>
      <w:r w:rsidRPr="003411DD">
        <w:rPr>
          <w:rFonts w:eastAsia="Arial" w:cs="Arial"/>
          <w:sz w:val="24"/>
          <w:szCs w:val="24"/>
          <w14:cntxtAlts/>
        </w:rPr>
        <w:t>confirm</w:t>
      </w:r>
      <w:proofErr w:type="gramEnd"/>
      <w:r w:rsidRPr="003411DD">
        <w:rPr>
          <w:rFonts w:eastAsia="Arial" w:cs="Arial"/>
          <w:sz w:val="24"/>
          <w:szCs w:val="24"/>
          <w14:cntxtAlts/>
        </w:rPr>
        <w:t xml:space="preserve"> the rating levels determined by the </w:t>
      </w:r>
      <w:r>
        <w:rPr>
          <w:rFonts w:eastAsia="Arial" w:cs="Arial"/>
          <w:sz w:val="24"/>
          <w:szCs w:val="24"/>
          <w14:cntxtAlts/>
        </w:rPr>
        <w:t>regulatory a</w:t>
      </w:r>
      <w:r w:rsidRPr="003411DD">
        <w:rPr>
          <w:rFonts w:eastAsia="Arial" w:cs="Arial"/>
          <w:sz w:val="24"/>
          <w:szCs w:val="24"/>
          <w14:cntxtAlts/>
        </w:rPr>
        <w:t>uthority; or</w:t>
      </w:r>
    </w:p>
    <w:p w:rsidR="00C24157" w:rsidRDefault="00C24157" w:rsidP="00C24157">
      <w:pPr>
        <w:pStyle w:val="ListParagraph"/>
        <w:spacing w:before="0" w:after="0" w:line="240" w:lineRule="auto"/>
        <w:ind w:right="-20" w:firstLine="720"/>
        <w:contextualSpacing w:val="0"/>
        <w:rPr>
          <w:rFonts w:eastAsia="Arial" w:cs="Arial"/>
          <w:sz w:val="24"/>
          <w:szCs w:val="24"/>
          <w14:cntxtAlts/>
        </w:rPr>
      </w:pPr>
      <w:r>
        <w:rPr>
          <w:rFonts w:eastAsia="Arial" w:cs="Arial"/>
          <w:sz w:val="24"/>
          <w:szCs w:val="24"/>
          <w14:cntxtAlts/>
        </w:rPr>
        <w:t xml:space="preserve">(b) </w:t>
      </w:r>
      <w:proofErr w:type="gramStart"/>
      <w:r>
        <w:rPr>
          <w:rFonts w:eastAsia="Arial" w:cs="Arial"/>
          <w:sz w:val="24"/>
          <w:szCs w:val="24"/>
          <w14:cntxtAlts/>
        </w:rPr>
        <w:t>amend</w:t>
      </w:r>
      <w:proofErr w:type="gramEnd"/>
      <w:r>
        <w:rPr>
          <w:rFonts w:eastAsia="Arial" w:cs="Arial"/>
          <w:sz w:val="24"/>
          <w:szCs w:val="24"/>
          <w14:cntxtAlts/>
        </w:rPr>
        <w:t xml:space="preserve"> the rating levels</w:t>
      </w:r>
      <w:r w:rsidRPr="003411DD">
        <w:rPr>
          <w:rFonts w:eastAsia="Arial" w:cs="Arial"/>
          <w:sz w:val="24"/>
          <w:szCs w:val="24"/>
          <w14:cntxtAlts/>
        </w:rPr>
        <w:t>.</w:t>
      </w:r>
    </w:p>
    <w:p w:rsidR="00C24157" w:rsidRPr="00A13EBF" w:rsidRDefault="00C24157" w:rsidP="00C24157">
      <w:pPr>
        <w:spacing w:before="0" w:after="0" w:line="240" w:lineRule="auto"/>
        <w:ind w:right="-20"/>
        <w:rPr>
          <w:rFonts w:eastAsia="Arial" w:cs="Arial"/>
          <w:sz w:val="24"/>
          <w:szCs w:val="24"/>
          <w14:cntxtAlts/>
        </w:rPr>
      </w:pPr>
    </w:p>
    <w:p w:rsidR="00C24157" w:rsidRPr="00481993" w:rsidRDefault="00C24157" w:rsidP="00C24157">
      <w:pPr>
        <w:pStyle w:val="ListParagraph"/>
        <w:numPr>
          <w:ilvl w:val="0"/>
          <w:numId w:val="2"/>
        </w:numPr>
        <w:autoSpaceDE w:val="0"/>
        <w:autoSpaceDN w:val="0"/>
        <w:adjustRightInd w:val="0"/>
        <w:spacing w:before="0" w:after="0"/>
        <w:rPr>
          <w:rFonts w:cs="Arial"/>
          <w:color w:val="000000"/>
          <w:sz w:val="24"/>
          <w:szCs w:val="24"/>
        </w:rPr>
      </w:pPr>
      <w:r w:rsidRPr="00481993">
        <w:rPr>
          <w:rFonts w:cs="Arial"/>
          <w:color w:val="000000"/>
          <w:sz w:val="24"/>
          <w:szCs w:val="24"/>
        </w:rPr>
        <w:t>Information on the application of the National Quality Standard is available in the Guide to the National Law and Regulations and the Guide to the National Quality Standard available on ACECQA’s website.</w:t>
      </w:r>
    </w:p>
    <w:p w:rsidR="00C24157" w:rsidRPr="00274F70" w:rsidRDefault="00C24157" w:rsidP="00C24157">
      <w:pPr>
        <w:pStyle w:val="ListParagraph"/>
        <w:spacing w:before="0" w:after="0" w:line="240" w:lineRule="auto"/>
        <w:ind w:left="680"/>
        <w:contextualSpacing w:val="0"/>
        <w:rPr>
          <w:sz w:val="24"/>
          <w:szCs w:val="24"/>
        </w:rPr>
      </w:pPr>
    </w:p>
    <w:p w:rsidR="00C24157" w:rsidRPr="00B408D4" w:rsidRDefault="00C24157" w:rsidP="00C24157">
      <w:pPr>
        <w:spacing w:before="0" w:line="240" w:lineRule="auto"/>
        <w:rPr>
          <w:rFonts w:cs="Arial"/>
          <w:b/>
          <w:sz w:val="28"/>
          <w:szCs w:val="28"/>
          <w14:cntxtAlts/>
        </w:rPr>
      </w:pPr>
      <w:r w:rsidRPr="00B408D4">
        <w:rPr>
          <w:rFonts w:cs="Arial"/>
          <w:b/>
          <w:sz w:val="28"/>
          <w:szCs w:val="28"/>
          <w14:cntxtAlts/>
        </w:rPr>
        <w:t>The facts</w:t>
      </w:r>
    </w:p>
    <w:p w:rsidR="00C24157" w:rsidRPr="00FD6087" w:rsidRDefault="009E5C08" w:rsidP="00C24157">
      <w:pPr>
        <w:pStyle w:val="ListParagraph"/>
        <w:numPr>
          <w:ilvl w:val="0"/>
          <w:numId w:val="2"/>
        </w:numPr>
        <w:spacing w:before="0" w:after="0" w:line="240" w:lineRule="auto"/>
        <w:rPr>
          <w:sz w:val="24"/>
          <w:szCs w:val="24"/>
        </w:rPr>
      </w:pPr>
      <w:r>
        <w:rPr>
          <w:sz w:val="24"/>
          <w:szCs w:val="24"/>
        </w:rPr>
        <w:t>The service</w:t>
      </w:r>
      <w:r w:rsidR="00C24157" w:rsidRPr="00FD6087">
        <w:rPr>
          <w:sz w:val="24"/>
          <w:szCs w:val="24"/>
        </w:rPr>
        <w:t xml:space="preserve"> is a stand-alone, centre-based long day care caring for children from birth to preschool age. This service is approved for a maximum of 43 places in total. </w:t>
      </w:r>
    </w:p>
    <w:p w:rsidR="00C24157" w:rsidRPr="0031527D" w:rsidRDefault="00C24157" w:rsidP="00C24157">
      <w:pPr>
        <w:pStyle w:val="ListParagraph"/>
        <w:spacing w:before="0" w:after="0" w:line="240" w:lineRule="auto"/>
        <w:ind w:left="680"/>
        <w:rPr>
          <w:sz w:val="24"/>
          <w:szCs w:val="24"/>
        </w:rPr>
      </w:pPr>
    </w:p>
    <w:p w:rsidR="00C24157" w:rsidRDefault="00C24157" w:rsidP="00C24157">
      <w:pPr>
        <w:pStyle w:val="ListParagraph"/>
        <w:numPr>
          <w:ilvl w:val="0"/>
          <w:numId w:val="2"/>
        </w:numPr>
        <w:spacing w:before="0" w:after="0" w:line="240" w:lineRule="auto"/>
        <w:rPr>
          <w:sz w:val="24"/>
          <w:szCs w:val="24"/>
        </w:rPr>
      </w:pPr>
      <w:r w:rsidRPr="003B2D1C">
        <w:rPr>
          <w:sz w:val="24"/>
          <w:szCs w:val="24"/>
        </w:rPr>
        <w:t xml:space="preserve">The assessment and rating visit at </w:t>
      </w:r>
      <w:r w:rsidR="009E5C08">
        <w:rPr>
          <w:sz w:val="24"/>
          <w:szCs w:val="24"/>
        </w:rPr>
        <w:t>the service</w:t>
      </w:r>
      <w:r w:rsidRPr="003B2D1C">
        <w:rPr>
          <w:sz w:val="24"/>
          <w:szCs w:val="24"/>
        </w:rPr>
        <w:t xml:space="preserve"> took place on 22 and 23 January 2014. </w:t>
      </w:r>
    </w:p>
    <w:p w:rsidR="00C24157" w:rsidRPr="003B2D1C" w:rsidRDefault="00C24157" w:rsidP="00C24157">
      <w:pPr>
        <w:pStyle w:val="ListParagraph"/>
        <w:rPr>
          <w:sz w:val="24"/>
          <w:szCs w:val="24"/>
        </w:rPr>
      </w:pPr>
    </w:p>
    <w:p w:rsidR="00C24157" w:rsidRDefault="00C24157" w:rsidP="00C24157">
      <w:pPr>
        <w:pStyle w:val="ListParagraph"/>
        <w:numPr>
          <w:ilvl w:val="0"/>
          <w:numId w:val="2"/>
        </w:numPr>
        <w:spacing w:before="0" w:after="0" w:line="240" w:lineRule="auto"/>
        <w:rPr>
          <w:sz w:val="24"/>
          <w:szCs w:val="24"/>
        </w:rPr>
      </w:pPr>
      <w:r w:rsidRPr="0024488A">
        <w:rPr>
          <w:sz w:val="24"/>
          <w:szCs w:val="24"/>
        </w:rPr>
        <w:lastRenderedPageBreak/>
        <w:t xml:space="preserve">The regulatory authority advised that the </w:t>
      </w:r>
      <w:r>
        <w:rPr>
          <w:sz w:val="24"/>
          <w:szCs w:val="24"/>
        </w:rPr>
        <w:t xml:space="preserve">final Assessment and Rating Report </w:t>
      </w:r>
      <w:r w:rsidRPr="0024488A">
        <w:rPr>
          <w:sz w:val="24"/>
          <w:szCs w:val="24"/>
        </w:rPr>
        <w:t>was sent to the provider on</w:t>
      </w:r>
      <w:r>
        <w:rPr>
          <w:sz w:val="24"/>
          <w:szCs w:val="24"/>
        </w:rPr>
        <w:t xml:space="preserve"> 18 February 2014</w:t>
      </w:r>
      <w:r w:rsidRPr="0024488A">
        <w:rPr>
          <w:sz w:val="24"/>
          <w:szCs w:val="24"/>
        </w:rPr>
        <w:t xml:space="preserve">. </w:t>
      </w:r>
    </w:p>
    <w:p w:rsidR="00C24157" w:rsidRPr="00BE74E8" w:rsidRDefault="00C24157" w:rsidP="00C24157">
      <w:pPr>
        <w:pStyle w:val="ListParagraph"/>
        <w:spacing w:before="0" w:after="0" w:line="240" w:lineRule="auto"/>
        <w:rPr>
          <w:sz w:val="24"/>
          <w:szCs w:val="24"/>
        </w:rPr>
      </w:pPr>
    </w:p>
    <w:p w:rsidR="00C24157" w:rsidRDefault="00C24157" w:rsidP="00C24157">
      <w:pPr>
        <w:pStyle w:val="ListParagraph"/>
        <w:numPr>
          <w:ilvl w:val="0"/>
          <w:numId w:val="2"/>
        </w:numPr>
        <w:autoSpaceDE w:val="0"/>
        <w:autoSpaceDN w:val="0"/>
        <w:adjustRightInd w:val="0"/>
        <w:spacing w:before="0" w:after="0" w:line="240" w:lineRule="auto"/>
        <w:rPr>
          <w:sz w:val="24"/>
          <w:szCs w:val="24"/>
        </w:rPr>
      </w:pPr>
      <w:r w:rsidRPr="00C76E33">
        <w:rPr>
          <w:sz w:val="24"/>
          <w:szCs w:val="24"/>
        </w:rPr>
        <w:t>The</w:t>
      </w:r>
      <w:r>
        <w:rPr>
          <w:sz w:val="24"/>
          <w:szCs w:val="24"/>
        </w:rPr>
        <w:t xml:space="preserve"> provider applied for first tier review</w:t>
      </w:r>
      <w:r w:rsidRPr="00AF2A4A">
        <w:rPr>
          <w:sz w:val="24"/>
          <w:szCs w:val="24"/>
        </w:rPr>
        <w:t>. The</w:t>
      </w:r>
      <w:r w:rsidRPr="00C76E33">
        <w:rPr>
          <w:sz w:val="24"/>
          <w:szCs w:val="24"/>
        </w:rPr>
        <w:t xml:space="preserve"> regulatory a</w:t>
      </w:r>
      <w:r>
        <w:rPr>
          <w:sz w:val="24"/>
          <w:szCs w:val="24"/>
        </w:rPr>
        <w:t>uthority made its</w:t>
      </w:r>
      <w:r w:rsidRPr="00C76E33">
        <w:rPr>
          <w:sz w:val="24"/>
          <w:szCs w:val="24"/>
        </w:rPr>
        <w:t xml:space="preserve"> decision on the review on</w:t>
      </w:r>
      <w:r>
        <w:rPr>
          <w:sz w:val="24"/>
          <w:szCs w:val="24"/>
        </w:rPr>
        <w:t xml:space="preserve"> 8 July 2014, and advised the provider of its decision on 11 July 2014.</w:t>
      </w:r>
    </w:p>
    <w:p w:rsidR="00C24157" w:rsidRDefault="00C24157" w:rsidP="00C24157">
      <w:pPr>
        <w:pStyle w:val="ListParagraph"/>
        <w:autoSpaceDE w:val="0"/>
        <w:autoSpaceDN w:val="0"/>
        <w:adjustRightInd w:val="0"/>
        <w:spacing w:before="0" w:after="0" w:line="240" w:lineRule="auto"/>
        <w:ind w:left="680"/>
        <w:rPr>
          <w:sz w:val="24"/>
          <w:szCs w:val="24"/>
        </w:rPr>
      </w:pPr>
    </w:p>
    <w:p w:rsidR="00C24157" w:rsidRPr="00306AC7" w:rsidRDefault="00C24157" w:rsidP="00C24157">
      <w:pPr>
        <w:autoSpaceDE w:val="0"/>
        <w:autoSpaceDN w:val="0"/>
        <w:adjustRightInd w:val="0"/>
        <w:spacing w:before="0" w:after="0" w:line="240" w:lineRule="auto"/>
        <w:rPr>
          <w:sz w:val="24"/>
          <w:szCs w:val="24"/>
        </w:rPr>
      </w:pPr>
    </w:p>
    <w:p w:rsidR="00C24157" w:rsidRPr="00E34437" w:rsidRDefault="00C24157" w:rsidP="00C24157">
      <w:pPr>
        <w:keepNext/>
        <w:spacing w:before="0" w:after="0" w:line="240" w:lineRule="auto"/>
        <w:rPr>
          <w:rFonts w:cs="Arial"/>
          <w:b/>
          <w:sz w:val="28"/>
          <w:szCs w:val="28"/>
          <w14:cntxtAlts/>
        </w:rPr>
      </w:pPr>
      <w:r w:rsidRPr="00E34437">
        <w:rPr>
          <w:rFonts w:cs="Arial"/>
          <w:b/>
          <w:sz w:val="28"/>
          <w:szCs w:val="28"/>
          <w14:cntxtAlts/>
        </w:rPr>
        <w:t>Review of rating levels</w:t>
      </w:r>
    </w:p>
    <w:p w:rsidR="00C24157" w:rsidRPr="00306AC7" w:rsidRDefault="00C24157" w:rsidP="00C24157">
      <w:pPr>
        <w:keepNext/>
        <w:spacing w:before="0" w:after="0" w:line="240" w:lineRule="auto"/>
        <w:ind w:left="113"/>
        <w:rPr>
          <w:rFonts w:eastAsia="Arial" w:cs="Arial"/>
          <w:sz w:val="24"/>
          <w:szCs w:val="24"/>
          <w14:cntxtAlts/>
        </w:rPr>
      </w:pPr>
    </w:p>
    <w:p w:rsidR="00C24157" w:rsidRPr="00E57B5B" w:rsidRDefault="00C24157" w:rsidP="00C24157">
      <w:pPr>
        <w:spacing w:before="0" w:after="0" w:line="240" w:lineRule="auto"/>
        <w:rPr>
          <w:b/>
          <w:sz w:val="24"/>
          <w:szCs w:val="24"/>
        </w:rPr>
      </w:pPr>
      <w:r>
        <w:rPr>
          <w:b/>
          <w:sz w:val="24"/>
          <w:szCs w:val="24"/>
        </w:rPr>
        <w:t>Standard 2.1</w:t>
      </w:r>
    </w:p>
    <w:p w:rsidR="00C24157" w:rsidRPr="007F2E88" w:rsidRDefault="00C24157" w:rsidP="00C24157">
      <w:pPr>
        <w:spacing w:before="0" w:after="0" w:line="240" w:lineRule="auto"/>
        <w:rPr>
          <w:sz w:val="24"/>
          <w:szCs w:val="24"/>
        </w:rPr>
      </w:pPr>
    </w:p>
    <w:p w:rsidR="00C24157" w:rsidRPr="00C24157" w:rsidRDefault="00C24157" w:rsidP="00C24157">
      <w:pPr>
        <w:pStyle w:val="ListParagraph"/>
        <w:numPr>
          <w:ilvl w:val="0"/>
          <w:numId w:val="2"/>
        </w:numPr>
        <w:spacing w:before="0" w:after="0" w:line="240" w:lineRule="auto"/>
        <w:rPr>
          <w:sz w:val="24"/>
          <w:szCs w:val="24"/>
        </w:rPr>
      </w:pPr>
      <w:r w:rsidRPr="00C24157">
        <w:rPr>
          <w:sz w:val="24"/>
          <w:szCs w:val="24"/>
        </w:rPr>
        <w:t>Standard 2.1 is that:</w:t>
      </w:r>
    </w:p>
    <w:p w:rsidR="00C24157" w:rsidRPr="00765EFC" w:rsidRDefault="00C24157" w:rsidP="00C24157">
      <w:pPr>
        <w:pStyle w:val="ListParagraph"/>
        <w:spacing w:before="0" w:after="0" w:line="240" w:lineRule="auto"/>
        <w:ind w:left="680"/>
        <w:rPr>
          <w:b/>
          <w:sz w:val="24"/>
          <w:szCs w:val="24"/>
        </w:rPr>
      </w:pPr>
      <w:r w:rsidRPr="00765EFC">
        <w:rPr>
          <w:sz w:val="24"/>
          <w:szCs w:val="24"/>
        </w:rPr>
        <w:t>‘Each child’s health is promoted’.</w:t>
      </w:r>
    </w:p>
    <w:p w:rsidR="00C24157" w:rsidRDefault="00C24157" w:rsidP="00C24157">
      <w:pPr>
        <w:pStyle w:val="ListParagraph"/>
        <w:spacing w:before="0" w:after="0" w:line="240" w:lineRule="auto"/>
        <w:ind w:left="680"/>
        <w:rPr>
          <w:sz w:val="24"/>
          <w:szCs w:val="24"/>
        </w:rPr>
      </w:pPr>
    </w:p>
    <w:p w:rsidR="00C24157" w:rsidRDefault="00C24157" w:rsidP="00C24157">
      <w:pPr>
        <w:pStyle w:val="ListParagraph"/>
        <w:numPr>
          <w:ilvl w:val="0"/>
          <w:numId w:val="2"/>
        </w:numPr>
        <w:spacing w:before="0" w:after="0" w:line="240" w:lineRule="auto"/>
        <w:rPr>
          <w:sz w:val="24"/>
          <w:szCs w:val="24"/>
        </w:rPr>
      </w:pPr>
      <w:r w:rsidRPr="00E56EA5">
        <w:rPr>
          <w:sz w:val="24"/>
          <w:szCs w:val="24"/>
        </w:rPr>
        <w:t xml:space="preserve">It is made up of </w:t>
      </w:r>
      <w:r>
        <w:rPr>
          <w:sz w:val="24"/>
          <w:szCs w:val="24"/>
        </w:rPr>
        <w:t xml:space="preserve">four separate elements, one of which is </w:t>
      </w:r>
      <w:r w:rsidRPr="00E56EA5">
        <w:rPr>
          <w:sz w:val="24"/>
          <w:szCs w:val="24"/>
        </w:rPr>
        <w:t>under review.</w:t>
      </w:r>
    </w:p>
    <w:p w:rsidR="00C24157" w:rsidRDefault="00C24157" w:rsidP="00C24157">
      <w:pPr>
        <w:spacing w:before="0" w:after="0" w:line="240" w:lineRule="auto"/>
        <w:rPr>
          <w:sz w:val="24"/>
          <w:szCs w:val="24"/>
        </w:rPr>
      </w:pPr>
    </w:p>
    <w:p w:rsidR="00C24157" w:rsidRPr="007F2E88" w:rsidRDefault="00C24157" w:rsidP="00C24157">
      <w:pPr>
        <w:spacing w:before="0" w:after="0" w:line="240" w:lineRule="auto"/>
        <w:rPr>
          <w:i/>
          <w:sz w:val="24"/>
          <w:szCs w:val="24"/>
        </w:rPr>
      </w:pPr>
      <w:r>
        <w:rPr>
          <w:i/>
          <w:sz w:val="24"/>
          <w:szCs w:val="24"/>
        </w:rPr>
        <w:t>Element 2.1.4</w:t>
      </w:r>
    </w:p>
    <w:p w:rsidR="00C24157" w:rsidRPr="007F2E88" w:rsidRDefault="00C24157" w:rsidP="00C24157">
      <w:pPr>
        <w:spacing w:before="0" w:after="0" w:line="240" w:lineRule="auto"/>
        <w:rPr>
          <w:sz w:val="24"/>
          <w:szCs w:val="24"/>
        </w:rPr>
      </w:pPr>
    </w:p>
    <w:p w:rsidR="00C24157" w:rsidRDefault="00C24157" w:rsidP="00C24157">
      <w:pPr>
        <w:pStyle w:val="ListParagraph"/>
        <w:numPr>
          <w:ilvl w:val="0"/>
          <w:numId w:val="2"/>
        </w:numPr>
        <w:spacing w:before="0" w:after="0" w:line="240" w:lineRule="auto"/>
        <w:rPr>
          <w:sz w:val="24"/>
          <w:szCs w:val="24"/>
        </w:rPr>
      </w:pPr>
      <w:r>
        <w:rPr>
          <w:sz w:val="24"/>
          <w:szCs w:val="24"/>
        </w:rPr>
        <w:t>Element 2.1.4 requires: S</w:t>
      </w:r>
      <w:r w:rsidRPr="005E7FB6">
        <w:rPr>
          <w:sz w:val="24"/>
          <w:szCs w:val="24"/>
        </w:rPr>
        <w:t>teps are taken to control the spread of infectious diseases and to manage injuries and illness, in accordance with recognised guidelines.</w:t>
      </w:r>
    </w:p>
    <w:p w:rsidR="005575A9" w:rsidRPr="005575A9" w:rsidRDefault="005575A9" w:rsidP="005575A9">
      <w:pPr>
        <w:spacing w:before="0" w:after="0" w:line="240" w:lineRule="auto"/>
        <w:ind w:left="113"/>
        <w:rPr>
          <w:sz w:val="24"/>
          <w:szCs w:val="24"/>
        </w:rPr>
      </w:pPr>
    </w:p>
    <w:p w:rsidR="005575A9" w:rsidRDefault="005575A9" w:rsidP="005575A9">
      <w:pPr>
        <w:pStyle w:val="ListParagraph"/>
        <w:numPr>
          <w:ilvl w:val="0"/>
          <w:numId w:val="2"/>
        </w:numPr>
        <w:spacing w:before="0" w:after="0" w:line="240" w:lineRule="auto"/>
        <w:rPr>
          <w:sz w:val="24"/>
          <w:szCs w:val="24"/>
        </w:rPr>
      </w:pPr>
      <w:r w:rsidRPr="005575A9">
        <w:rPr>
          <w:sz w:val="24"/>
          <w:szCs w:val="24"/>
        </w:rPr>
        <w:t>In the final Report, the regulatory authority states that it reviewed the service’s rosters, which showed that there were times where there were no educator</w:t>
      </w:r>
      <w:r w:rsidR="00C9293B">
        <w:rPr>
          <w:sz w:val="24"/>
          <w:szCs w:val="24"/>
        </w:rPr>
        <w:t>s</w:t>
      </w:r>
      <w:r w:rsidRPr="005575A9">
        <w:rPr>
          <w:sz w:val="24"/>
          <w:szCs w:val="24"/>
        </w:rPr>
        <w:t xml:space="preserve"> in attendance with an asthma and anaphylaxis qualification. It was noted that this is a breach of Regulation 136(1)(b)(c), which requires that when children are being cared for, at least one educator who has undertaken current approved asthma and anaphylaxis training must be in attendance at all times.</w:t>
      </w:r>
    </w:p>
    <w:p w:rsidR="005575A9" w:rsidRPr="005575A9" w:rsidRDefault="005575A9" w:rsidP="005575A9">
      <w:pPr>
        <w:pStyle w:val="ListParagraph"/>
        <w:rPr>
          <w:sz w:val="24"/>
          <w:szCs w:val="24"/>
        </w:rPr>
      </w:pPr>
    </w:p>
    <w:p w:rsidR="005575A9" w:rsidRDefault="005575A9" w:rsidP="005575A9">
      <w:pPr>
        <w:pStyle w:val="ListParagraph"/>
        <w:numPr>
          <w:ilvl w:val="0"/>
          <w:numId w:val="2"/>
        </w:numPr>
        <w:spacing w:before="0" w:after="0" w:line="240" w:lineRule="auto"/>
        <w:rPr>
          <w:sz w:val="24"/>
          <w:szCs w:val="24"/>
        </w:rPr>
      </w:pPr>
      <w:r>
        <w:rPr>
          <w:sz w:val="24"/>
          <w:szCs w:val="24"/>
        </w:rPr>
        <w:t>In its application for second tier review, t</w:t>
      </w:r>
      <w:r w:rsidRPr="00E533BD">
        <w:rPr>
          <w:sz w:val="24"/>
          <w:szCs w:val="24"/>
        </w:rPr>
        <w:t>he provider acknowledged that there was a half an hour gap at closing, and a one</w:t>
      </w:r>
      <w:r>
        <w:rPr>
          <w:sz w:val="24"/>
          <w:szCs w:val="24"/>
        </w:rPr>
        <w:t xml:space="preserve"> and a half hour gap at the beginn</w:t>
      </w:r>
      <w:r w:rsidRPr="00E533BD">
        <w:rPr>
          <w:sz w:val="24"/>
          <w:szCs w:val="24"/>
        </w:rPr>
        <w:t xml:space="preserve">ing of the day where </w:t>
      </w:r>
      <w:r>
        <w:rPr>
          <w:sz w:val="24"/>
          <w:szCs w:val="24"/>
        </w:rPr>
        <w:t>there were</w:t>
      </w:r>
      <w:r w:rsidRPr="00E533BD">
        <w:rPr>
          <w:sz w:val="24"/>
          <w:szCs w:val="24"/>
        </w:rPr>
        <w:t xml:space="preserve"> no educator</w:t>
      </w:r>
      <w:r>
        <w:rPr>
          <w:sz w:val="24"/>
          <w:szCs w:val="24"/>
        </w:rPr>
        <w:t>s present at the service</w:t>
      </w:r>
      <w:r w:rsidRPr="00E533BD">
        <w:rPr>
          <w:sz w:val="24"/>
          <w:szCs w:val="24"/>
        </w:rPr>
        <w:t xml:space="preserve"> with current asthma and anaphylaxis qualifications.</w:t>
      </w:r>
      <w:r>
        <w:rPr>
          <w:sz w:val="24"/>
          <w:szCs w:val="24"/>
        </w:rPr>
        <w:t xml:space="preserve"> However, the provider states that this was addressed and resolved immediately after notification from the regulatory authority. </w:t>
      </w:r>
    </w:p>
    <w:p w:rsidR="005575A9" w:rsidRPr="00D44B05" w:rsidRDefault="005575A9" w:rsidP="005575A9">
      <w:pPr>
        <w:pStyle w:val="ListParagraph"/>
        <w:rPr>
          <w:sz w:val="24"/>
          <w:szCs w:val="24"/>
        </w:rPr>
      </w:pPr>
    </w:p>
    <w:p w:rsidR="005575A9" w:rsidRPr="00D44B05" w:rsidRDefault="005575A9" w:rsidP="005575A9">
      <w:pPr>
        <w:pStyle w:val="ListParagraph"/>
        <w:numPr>
          <w:ilvl w:val="0"/>
          <w:numId w:val="2"/>
        </w:numPr>
        <w:spacing w:before="0" w:after="0" w:line="240" w:lineRule="auto"/>
        <w:rPr>
          <w:sz w:val="24"/>
          <w:szCs w:val="24"/>
        </w:rPr>
      </w:pPr>
      <w:r>
        <w:rPr>
          <w:sz w:val="24"/>
          <w:szCs w:val="24"/>
        </w:rPr>
        <w:t>T</w:t>
      </w:r>
      <w:r w:rsidRPr="00D44B05">
        <w:rPr>
          <w:sz w:val="24"/>
          <w:szCs w:val="24"/>
        </w:rPr>
        <w:t xml:space="preserve">he provider advised that a decision has been made, and a policy drafted, that all educators employed by </w:t>
      </w:r>
      <w:r w:rsidR="009E5C08">
        <w:rPr>
          <w:sz w:val="24"/>
          <w:szCs w:val="24"/>
        </w:rPr>
        <w:t>the service</w:t>
      </w:r>
      <w:r w:rsidRPr="00D44B05">
        <w:rPr>
          <w:sz w:val="24"/>
          <w:szCs w:val="24"/>
        </w:rPr>
        <w:t xml:space="preserve"> must have</w:t>
      </w:r>
      <w:r>
        <w:rPr>
          <w:sz w:val="24"/>
          <w:szCs w:val="24"/>
        </w:rPr>
        <w:t xml:space="preserve"> current and up to date first aid, asthma and anaphylaxis qualifications, and that this will be a permanent and on-going requirement of employment with the service.</w:t>
      </w:r>
    </w:p>
    <w:p w:rsidR="005575A9" w:rsidRPr="005575A9" w:rsidRDefault="005575A9" w:rsidP="005575A9">
      <w:pPr>
        <w:pStyle w:val="ListParagraph"/>
        <w:spacing w:before="0" w:after="0" w:line="240" w:lineRule="auto"/>
        <w:ind w:left="680"/>
        <w:rPr>
          <w:sz w:val="24"/>
          <w:szCs w:val="24"/>
        </w:rPr>
      </w:pPr>
    </w:p>
    <w:p w:rsidR="005575A9" w:rsidRPr="005575A9" w:rsidRDefault="005575A9" w:rsidP="005575A9">
      <w:pPr>
        <w:pStyle w:val="ListParagraph"/>
        <w:numPr>
          <w:ilvl w:val="0"/>
          <w:numId w:val="2"/>
        </w:numPr>
        <w:spacing w:before="0" w:after="0" w:line="240" w:lineRule="auto"/>
        <w:rPr>
          <w:sz w:val="24"/>
          <w:szCs w:val="24"/>
        </w:rPr>
      </w:pPr>
      <w:r w:rsidRPr="005575A9">
        <w:rPr>
          <w:sz w:val="24"/>
          <w:szCs w:val="24"/>
        </w:rPr>
        <w:t>The Panel noted that the provider submitted information to demonstrate that the rosters have been amended to ensure there is always an educator present who holds asthma and anaphylaxis qualifications. The Panel acknowledged that the provider is not disputing that there was previously a period of non-compliance.</w:t>
      </w:r>
    </w:p>
    <w:p w:rsidR="005575A9" w:rsidRPr="005575A9" w:rsidRDefault="005575A9" w:rsidP="005575A9">
      <w:pPr>
        <w:pStyle w:val="ListParagraph"/>
        <w:spacing w:before="0" w:after="0" w:line="240" w:lineRule="auto"/>
        <w:ind w:left="680"/>
        <w:rPr>
          <w:sz w:val="24"/>
          <w:szCs w:val="24"/>
        </w:rPr>
      </w:pPr>
    </w:p>
    <w:p w:rsidR="005575A9" w:rsidRDefault="005575A9" w:rsidP="005575A9">
      <w:pPr>
        <w:pStyle w:val="ListParagraph"/>
        <w:numPr>
          <w:ilvl w:val="0"/>
          <w:numId w:val="2"/>
        </w:numPr>
        <w:spacing w:before="0" w:after="0" w:line="240" w:lineRule="auto"/>
        <w:rPr>
          <w:sz w:val="24"/>
          <w:szCs w:val="24"/>
        </w:rPr>
      </w:pPr>
      <w:r w:rsidRPr="005575A9">
        <w:rPr>
          <w:sz w:val="24"/>
          <w:szCs w:val="24"/>
        </w:rPr>
        <w:t xml:space="preserve">The Panel noted that the rating of a service is a point in time assessment. Therefore, in determining a </w:t>
      </w:r>
      <w:r w:rsidR="00DD434D">
        <w:rPr>
          <w:sz w:val="24"/>
          <w:szCs w:val="24"/>
        </w:rPr>
        <w:t>judgment</w:t>
      </w:r>
      <w:r w:rsidR="00DD434D" w:rsidRPr="005575A9">
        <w:rPr>
          <w:sz w:val="24"/>
          <w:szCs w:val="24"/>
        </w:rPr>
        <w:t xml:space="preserve"> </w:t>
      </w:r>
      <w:r w:rsidRPr="005575A9">
        <w:rPr>
          <w:sz w:val="24"/>
          <w:szCs w:val="24"/>
        </w:rPr>
        <w:t>for this element</w:t>
      </w:r>
      <w:r w:rsidR="00C9293B">
        <w:rPr>
          <w:sz w:val="24"/>
          <w:szCs w:val="24"/>
        </w:rPr>
        <w:t>,</w:t>
      </w:r>
      <w:r w:rsidRPr="005575A9">
        <w:rPr>
          <w:sz w:val="24"/>
          <w:szCs w:val="24"/>
        </w:rPr>
        <w:t xml:space="preserve"> only evidence that was available at the time of the assessment and rating should be considered. The Panel acknowledged that there </w:t>
      </w:r>
      <w:proofErr w:type="gramStart"/>
      <w:r w:rsidRPr="005575A9">
        <w:rPr>
          <w:sz w:val="24"/>
          <w:szCs w:val="24"/>
        </w:rPr>
        <w:t>may</w:t>
      </w:r>
      <w:proofErr w:type="gramEnd"/>
      <w:r w:rsidRPr="005575A9">
        <w:rPr>
          <w:sz w:val="24"/>
          <w:szCs w:val="24"/>
        </w:rPr>
        <w:t xml:space="preserve"> be circumstances when the regulatory authority gives an approved provider the opportunity to make minor adjustments to rectify any matters identified during the rating assessment. The Panel noted that </w:t>
      </w:r>
      <w:proofErr w:type="gramStart"/>
      <w:r w:rsidRPr="005575A9">
        <w:rPr>
          <w:sz w:val="24"/>
          <w:szCs w:val="24"/>
        </w:rPr>
        <w:t>a minor adjustment was not offered by the assessor for this element</w:t>
      </w:r>
      <w:proofErr w:type="gramEnd"/>
      <w:r w:rsidRPr="005575A9">
        <w:rPr>
          <w:sz w:val="24"/>
          <w:szCs w:val="24"/>
        </w:rPr>
        <w:t>.</w:t>
      </w:r>
    </w:p>
    <w:p w:rsidR="005575A9" w:rsidRPr="005575A9" w:rsidRDefault="005575A9" w:rsidP="005575A9">
      <w:pPr>
        <w:pStyle w:val="ListParagraph"/>
        <w:rPr>
          <w:sz w:val="24"/>
          <w:szCs w:val="24"/>
        </w:rPr>
      </w:pPr>
    </w:p>
    <w:p w:rsidR="005575A9" w:rsidRDefault="005575A9" w:rsidP="005575A9">
      <w:pPr>
        <w:pStyle w:val="ListParagraph"/>
        <w:numPr>
          <w:ilvl w:val="0"/>
          <w:numId w:val="2"/>
        </w:numPr>
        <w:spacing w:before="0" w:after="0" w:line="240" w:lineRule="auto"/>
        <w:rPr>
          <w:sz w:val="24"/>
          <w:szCs w:val="24"/>
        </w:rPr>
      </w:pPr>
      <w:r w:rsidRPr="005575A9">
        <w:rPr>
          <w:sz w:val="24"/>
          <w:szCs w:val="24"/>
        </w:rPr>
        <w:t xml:space="preserve">The Panel noted that the assessor had recorded that there were no children in attendance with a diagnosis of asthma or anaphylaxis. The Panel agreed that the regulation applied irrespective of whether there was a known diagnosis, and noted that an undiagnosed child could still have an adverse reaction that could be potentially life threating. The Panel emphasised that the regulation must be complied with </w:t>
      </w:r>
      <w:r>
        <w:rPr>
          <w:sz w:val="24"/>
          <w:szCs w:val="24"/>
        </w:rPr>
        <w:t>‘</w:t>
      </w:r>
      <w:r w:rsidRPr="005575A9">
        <w:rPr>
          <w:sz w:val="24"/>
          <w:szCs w:val="24"/>
        </w:rPr>
        <w:t>at all times</w:t>
      </w:r>
      <w:r>
        <w:rPr>
          <w:sz w:val="24"/>
          <w:szCs w:val="24"/>
        </w:rPr>
        <w:t>’</w:t>
      </w:r>
      <w:r w:rsidRPr="005575A9">
        <w:rPr>
          <w:sz w:val="24"/>
          <w:szCs w:val="24"/>
        </w:rPr>
        <w:t xml:space="preserve">. </w:t>
      </w:r>
    </w:p>
    <w:p w:rsidR="005575A9" w:rsidRPr="005575A9" w:rsidRDefault="005575A9" w:rsidP="005575A9">
      <w:pPr>
        <w:pStyle w:val="ListParagraph"/>
        <w:rPr>
          <w:sz w:val="24"/>
          <w:szCs w:val="24"/>
        </w:rPr>
      </w:pPr>
    </w:p>
    <w:p w:rsidR="005575A9" w:rsidRDefault="005575A9" w:rsidP="005575A9">
      <w:pPr>
        <w:pStyle w:val="ListParagraph"/>
        <w:numPr>
          <w:ilvl w:val="0"/>
          <w:numId w:val="2"/>
        </w:numPr>
        <w:spacing w:before="0" w:after="0" w:line="240" w:lineRule="auto"/>
        <w:rPr>
          <w:sz w:val="24"/>
          <w:szCs w:val="24"/>
        </w:rPr>
      </w:pPr>
      <w:r w:rsidRPr="005575A9">
        <w:rPr>
          <w:sz w:val="24"/>
          <w:szCs w:val="24"/>
        </w:rPr>
        <w:t>The Panel noted that regulation 136 is listed on the Assessment and Rating Instrument as a regulation relevant to Quality Area 4. Nevertheless, it is reasonable to consider compliance with regulation 136 under element 2.1.4, as is indicated by the Guide to the National Quality Standard. The Panel noted that it would not be appropriate for the regulatory authority to consider compliance with regulation 136 under both Quality Areas 2 and 4. However, as the regulatory authority has not considered non-compliance with regulation 136 under Quality Area 4, it is therefore open to the Panel to consider the issue under element 2.1.4.</w:t>
      </w:r>
    </w:p>
    <w:p w:rsidR="005575A9" w:rsidRPr="005575A9" w:rsidRDefault="005575A9" w:rsidP="005575A9">
      <w:pPr>
        <w:pStyle w:val="ListParagraph"/>
        <w:rPr>
          <w:sz w:val="24"/>
          <w:szCs w:val="24"/>
        </w:rPr>
      </w:pPr>
    </w:p>
    <w:p w:rsidR="005575A9" w:rsidRDefault="005575A9" w:rsidP="005575A9">
      <w:pPr>
        <w:pStyle w:val="ListParagraph"/>
        <w:numPr>
          <w:ilvl w:val="0"/>
          <w:numId w:val="2"/>
        </w:numPr>
        <w:spacing w:before="0" w:after="0" w:line="240" w:lineRule="auto"/>
        <w:rPr>
          <w:sz w:val="24"/>
          <w:szCs w:val="24"/>
        </w:rPr>
      </w:pPr>
      <w:r w:rsidRPr="005575A9">
        <w:rPr>
          <w:sz w:val="24"/>
          <w:szCs w:val="24"/>
        </w:rPr>
        <w:t xml:space="preserve">The Panel noted the provider’s claims that it is now compliant with regulation 136. The Panel further </w:t>
      </w:r>
      <w:r w:rsidR="000E4F3E" w:rsidRPr="005575A9">
        <w:rPr>
          <w:sz w:val="24"/>
          <w:szCs w:val="24"/>
        </w:rPr>
        <w:t>note</w:t>
      </w:r>
      <w:r w:rsidR="000E4F3E">
        <w:rPr>
          <w:sz w:val="24"/>
          <w:szCs w:val="24"/>
        </w:rPr>
        <w:t>d</w:t>
      </w:r>
      <w:r w:rsidR="000E4F3E" w:rsidRPr="005575A9">
        <w:rPr>
          <w:sz w:val="24"/>
          <w:szCs w:val="24"/>
        </w:rPr>
        <w:t xml:space="preserve"> </w:t>
      </w:r>
      <w:r w:rsidRPr="005575A9">
        <w:rPr>
          <w:sz w:val="24"/>
          <w:szCs w:val="24"/>
        </w:rPr>
        <w:t>that the provider may wish to seek a reassessment of this element by the regulatory authority under section 139 of the National Law, noting that during a reassessment, the regulatory authority may take into account changes that have happened at the services since the assessment and rating whereas the Panel is unable to do so.</w:t>
      </w:r>
    </w:p>
    <w:p w:rsidR="00724436" w:rsidRPr="00724436" w:rsidRDefault="00724436" w:rsidP="00724436">
      <w:pPr>
        <w:pStyle w:val="ListParagraph"/>
        <w:rPr>
          <w:sz w:val="24"/>
          <w:szCs w:val="24"/>
        </w:rPr>
      </w:pPr>
    </w:p>
    <w:p w:rsidR="005575A9" w:rsidRPr="005575A9" w:rsidRDefault="005575A9" w:rsidP="005575A9">
      <w:pPr>
        <w:pStyle w:val="ListParagraph"/>
        <w:numPr>
          <w:ilvl w:val="0"/>
          <w:numId w:val="2"/>
        </w:numPr>
        <w:spacing w:before="0" w:after="0" w:line="240" w:lineRule="auto"/>
        <w:rPr>
          <w:sz w:val="24"/>
          <w:szCs w:val="24"/>
        </w:rPr>
      </w:pPr>
      <w:r w:rsidRPr="005575A9">
        <w:rPr>
          <w:sz w:val="24"/>
          <w:szCs w:val="24"/>
        </w:rPr>
        <w:t xml:space="preserve">The Panel agreed that </w:t>
      </w:r>
      <w:r w:rsidR="00724436">
        <w:rPr>
          <w:sz w:val="24"/>
          <w:szCs w:val="24"/>
        </w:rPr>
        <w:t xml:space="preserve">the assessment of </w:t>
      </w:r>
      <w:r w:rsidRPr="005575A9">
        <w:rPr>
          <w:sz w:val="24"/>
          <w:szCs w:val="24"/>
        </w:rPr>
        <w:t>element 2.1.4 remains a</w:t>
      </w:r>
      <w:r w:rsidR="00724436">
        <w:rPr>
          <w:sz w:val="24"/>
          <w:szCs w:val="24"/>
        </w:rPr>
        <w:t>t</w:t>
      </w:r>
      <w:r w:rsidRPr="005575A9">
        <w:rPr>
          <w:sz w:val="24"/>
          <w:szCs w:val="24"/>
        </w:rPr>
        <w:t xml:space="preserve"> </w:t>
      </w:r>
      <w:r w:rsidR="00724436">
        <w:rPr>
          <w:sz w:val="24"/>
          <w:szCs w:val="24"/>
        </w:rPr>
        <w:t>‘</w:t>
      </w:r>
      <w:r w:rsidRPr="005575A9">
        <w:rPr>
          <w:sz w:val="24"/>
          <w:szCs w:val="24"/>
        </w:rPr>
        <w:t xml:space="preserve">not met’. </w:t>
      </w:r>
    </w:p>
    <w:p w:rsidR="00C24157" w:rsidRDefault="00C24157" w:rsidP="00C24157">
      <w:pPr>
        <w:autoSpaceDE w:val="0"/>
        <w:autoSpaceDN w:val="0"/>
        <w:adjustRightInd w:val="0"/>
        <w:spacing w:before="0" w:after="0" w:line="240" w:lineRule="auto"/>
        <w:rPr>
          <w:sz w:val="24"/>
          <w:szCs w:val="24"/>
        </w:rPr>
      </w:pPr>
    </w:p>
    <w:p w:rsidR="00C24157" w:rsidRPr="005D4BA3" w:rsidRDefault="00C24157" w:rsidP="00C24157">
      <w:pPr>
        <w:pStyle w:val="ListParagraph"/>
        <w:spacing w:before="0" w:after="0" w:line="240" w:lineRule="auto"/>
        <w:ind w:left="680"/>
        <w:rPr>
          <w:sz w:val="24"/>
          <w:szCs w:val="24"/>
        </w:rPr>
      </w:pPr>
    </w:p>
    <w:p w:rsidR="00BB551E" w:rsidRPr="007F2E88" w:rsidRDefault="00BB551E" w:rsidP="00BB551E">
      <w:pPr>
        <w:spacing w:before="0" w:after="0" w:line="240" w:lineRule="auto"/>
        <w:rPr>
          <w:b/>
          <w:sz w:val="24"/>
          <w:szCs w:val="24"/>
        </w:rPr>
      </w:pPr>
      <w:r w:rsidRPr="007F2E88">
        <w:rPr>
          <w:b/>
          <w:sz w:val="24"/>
          <w:szCs w:val="24"/>
        </w:rPr>
        <w:t>Standard 2.3</w:t>
      </w:r>
    </w:p>
    <w:p w:rsidR="00BB551E" w:rsidRPr="007F2E88" w:rsidRDefault="00BB551E" w:rsidP="00BB551E">
      <w:pPr>
        <w:spacing w:before="0" w:after="0" w:line="240" w:lineRule="auto"/>
        <w:rPr>
          <w:sz w:val="24"/>
          <w:szCs w:val="24"/>
        </w:rPr>
      </w:pPr>
    </w:p>
    <w:p w:rsidR="00BB551E" w:rsidRPr="00BB551E" w:rsidRDefault="00BB551E" w:rsidP="00BB551E">
      <w:pPr>
        <w:pStyle w:val="ListParagraph"/>
        <w:numPr>
          <w:ilvl w:val="0"/>
          <w:numId w:val="2"/>
        </w:numPr>
        <w:spacing w:before="0" w:after="0" w:line="240" w:lineRule="auto"/>
        <w:rPr>
          <w:sz w:val="24"/>
          <w:szCs w:val="24"/>
        </w:rPr>
      </w:pPr>
      <w:r w:rsidRPr="00BB551E">
        <w:rPr>
          <w:sz w:val="24"/>
          <w:szCs w:val="24"/>
        </w:rPr>
        <w:t>Standard 2.3 is that:</w:t>
      </w:r>
    </w:p>
    <w:p w:rsidR="00BB551E" w:rsidRPr="007F2E88" w:rsidRDefault="00BB551E" w:rsidP="00BB551E">
      <w:pPr>
        <w:pStyle w:val="ListParagraph"/>
        <w:spacing w:before="0" w:after="0" w:line="240" w:lineRule="auto"/>
        <w:rPr>
          <w:sz w:val="24"/>
          <w:szCs w:val="24"/>
        </w:rPr>
      </w:pPr>
      <w:r w:rsidRPr="007F2E88">
        <w:rPr>
          <w:sz w:val="24"/>
          <w:szCs w:val="24"/>
        </w:rPr>
        <w:t>Each child is protected.</w:t>
      </w:r>
    </w:p>
    <w:p w:rsidR="00BB551E" w:rsidRPr="007F2E88" w:rsidRDefault="00BB551E" w:rsidP="00BB551E">
      <w:pPr>
        <w:pStyle w:val="ListParagraph"/>
        <w:spacing w:before="0" w:after="0" w:line="240" w:lineRule="auto"/>
        <w:rPr>
          <w:sz w:val="24"/>
          <w:szCs w:val="24"/>
        </w:rPr>
      </w:pPr>
      <w:r w:rsidRPr="007F2E88">
        <w:rPr>
          <w:sz w:val="24"/>
          <w:szCs w:val="24"/>
        </w:rPr>
        <w:t xml:space="preserve"> </w:t>
      </w:r>
    </w:p>
    <w:p w:rsidR="00BB551E" w:rsidRDefault="00BB551E" w:rsidP="00BB551E">
      <w:pPr>
        <w:pStyle w:val="ListParagraph"/>
        <w:numPr>
          <w:ilvl w:val="0"/>
          <w:numId w:val="2"/>
        </w:numPr>
        <w:spacing w:before="0" w:after="0" w:line="240" w:lineRule="auto"/>
        <w:rPr>
          <w:sz w:val="24"/>
          <w:szCs w:val="24"/>
        </w:rPr>
      </w:pPr>
      <w:r w:rsidRPr="00E56EA5">
        <w:rPr>
          <w:sz w:val="24"/>
          <w:szCs w:val="24"/>
        </w:rPr>
        <w:t xml:space="preserve">It is made up of four separate elements, </w:t>
      </w:r>
      <w:r>
        <w:rPr>
          <w:sz w:val="24"/>
          <w:szCs w:val="24"/>
        </w:rPr>
        <w:t>one of which is</w:t>
      </w:r>
      <w:r w:rsidRPr="00E56EA5">
        <w:rPr>
          <w:sz w:val="24"/>
          <w:szCs w:val="24"/>
        </w:rPr>
        <w:t xml:space="preserve"> under review.</w:t>
      </w:r>
    </w:p>
    <w:p w:rsidR="00BB551E" w:rsidRDefault="00BB551E" w:rsidP="00BB551E">
      <w:pPr>
        <w:spacing w:before="0" w:after="0" w:line="240" w:lineRule="auto"/>
        <w:rPr>
          <w:sz w:val="24"/>
          <w:szCs w:val="24"/>
        </w:rPr>
      </w:pPr>
    </w:p>
    <w:p w:rsidR="00BB551E" w:rsidRPr="007F2E88" w:rsidRDefault="00BB551E" w:rsidP="00BB551E">
      <w:pPr>
        <w:spacing w:before="0" w:after="0" w:line="240" w:lineRule="auto"/>
        <w:rPr>
          <w:i/>
          <w:sz w:val="24"/>
          <w:szCs w:val="24"/>
        </w:rPr>
      </w:pPr>
      <w:r w:rsidRPr="0062771F">
        <w:rPr>
          <w:i/>
          <w:sz w:val="24"/>
          <w:szCs w:val="24"/>
        </w:rPr>
        <w:t>Element 2.3.3</w:t>
      </w:r>
    </w:p>
    <w:p w:rsidR="00BB551E" w:rsidRPr="007F2E88" w:rsidRDefault="00BB551E" w:rsidP="00BB551E">
      <w:pPr>
        <w:spacing w:before="0" w:after="0" w:line="240" w:lineRule="auto"/>
        <w:rPr>
          <w:sz w:val="24"/>
          <w:szCs w:val="24"/>
        </w:rPr>
      </w:pPr>
    </w:p>
    <w:p w:rsidR="00BB551E" w:rsidRPr="00E56EA5" w:rsidRDefault="00BB551E" w:rsidP="00BB551E">
      <w:pPr>
        <w:pStyle w:val="ListParagraph"/>
        <w:numPr>
          <w:ilvl w:val="0"/>
          <w:numId w:val="2"/>
        </w:numPr>
        <w:spacing w:before="0" w:after="0" w:line="240" w:lineRule="auto"/>
        <w:rPr>
          <w:sz w:val="24"/>
          <w:szCs w:val="24"/>
        </w:rPr>
      </w:pPr>
      <w:r w:rsidRPr="00E56EA5">
        <w:rPr>
          <w:sz w:val="24"/>
          <w:szCs w:val="24"/>
        </w:rPr>
        <w:lastRenderedPageBreak/>
        <w:t>Element 2.3.3 requires: Plans to effectively manage incidents and emergencies are developed in consultation with relevant authorities, practised and implemented.</w:t>
      </w:r>
    </w:p>
    <w:p w:rsidR="00C24157" w:rsidRDefault="00C24157" w:rsidP="00C24157">
      <w:pPr>
        <w:pStyle w:val="ListParagraph"/>
        <w:spacing w:before="0" w:after="0"/>
        <w:ind w:left="680"/>
        <w:rPr>
          <w:sz w:val="24"/>
          <w:szCs w:val="24"/>
        </w:rPr>
      </w:pPr>
    </w:p>
    <w:p w:rsidR="001F2612" w:rsidRPr="001F2612" w:rsidRDefault="001F2612" w:rsidP="001F2612">
      <w:pPr>
        <w:pStyle w:val="ListParagraph"/>
        <w:numPr>
          <w:ilvl w:val="0"/>
          <w:numId w:val="2"/>
        </w:numPr>
        <w:spacing w:before="0" w:after="0" w:line="240" w:lineRule="auto"/>
        <w:rPr>
          <w:sz w:val="24"/>
          <w:szCs w:val="24"/>
        </w:rPr>
      </w:pPr>
      <w:r w:rsidRPr="00156DBB">
        <w:rPr>
          <w:rFonts w:cs="Arial"/>
          <w:color w:val="000000"/>
          <w:sz w:val="24"/>
          <w:szCs w:val="24"/>
        </w:rPr>
        <w:t xml:space="preserve">In its first tier review findings, the regulatory authority </w:t>
      </w:r>
      <w:r w:rsidR="000E4F3E">
        <w:rPr>
          <w:rFonts w:cs="Arial"/>
          <w:color w:val="000000"/>
          <w:sz w:val="24"/>
          <w:szCs w:val="24"/>
        </w:rPr>
        <w:t xml:space="preserve">noted </w:t>
      </w:r>
      <w:r w:rsidRPr="00156DBB">
        <w:rPr>
          <w:rFonts w:cs="Arial"/>
          <w:color w:val="000000"/>
          <w:sz w:val="24"/>
          <w:szCs w:val="24"/>
        </w:rPr>
        <w:t>non</w:t>
      </w:r>
      <w:r w:rsidRPr="00156DBB">
        <w:rPr>
          <w:rFonts w:cs="Arial"/>
          <w:color w:val="000000"/>
          <w:sz w:val="24"/>
          <w:szCs w:val="24"/>
        </w:rPr>
        <w:noBreakHyphen/>
        <w:t>compliance in relation to the p</w:t>
      </w:r>
      <w:r>
        <w:rPr>
          <w:rFonts w:cs="Arial"/>
          <w:color w:val="000000"/>
          <w:sz w:val="24"/>
          <w:szCs w:val="24"/>
        </w:rPr>
        <w:t xml:space="preserve">ractice of emergency procedures, as there was no evidence that rehearsals were conducted during the period April to October 2013.  </w:t>
      </w:r>
      <w:r w:rsidRPr="00A607DA">
        <w:rPr>
          <w:rFonts w:cs="Arial"/>
          <w:color w:val="000000"/>
          <w:sz w:val="24"/>
          <w:szCs w:val="24"/>
        </w:rPr>
        <w:t>Similarly, the regulatory authority noted that although the service has a lockdown procedure, it was not eviden</w:t>
      </w:r>
      <w:r>
        <w:rPr>
          <w:rFonts w:cs="Arial"/>
          <w:color w:val="000000"/>
          <w:sz w:val="24"/>
          <w:szCs w:val="24"/>
        </w:rPr>
        <w:t>t</w:t>
      </w:r>
      <w:r w:rsidRPr="00A607DA">
        <w:rPr>
          <w:rFonts w:cs="Arial"/>
          <w:color w:val="000000"/>
          <w:sz w:val="24"/>
          <w:szCs w:val="24"/>
        </w:rPr>
        <w:t xml:space="preserve"> that this had been rehearsed.  </w:t>
      </w:r>
    </w:p>
    <w:p w:rsidR="001F2612" w:rsidRPr="001F2612" w:rsidRDefault="001F2612" w:rsidP="001F2612">
      <w:pPr>
        <w:pStyle w:val="ListParagraph"/>
        <w:rPr>
          <w:sz w:val="24"/>
          <w:szCs w:val="24"/>
        </w:rPr>
      </w:pPr>
    </w:p>
    <w:p w:rsidR="001F2612" w:rsidRPr="001F2612" w:rsidRDefault="001F2612" w:rsidP="001F2612">
      <w:pPr>
        <w:pStyle w:val="ListParagraph"/>
        <w:numPr>
          <w:ilvl w:val="0"/>
          <w:numId w:val="2"/>
        </w:numPr>
        <w:spacing w:before="0" w:after="0" w:line="240" w:lineRule="auto"/>
        <w:rPr>
          <w:sz w:val="24"/>
          <w:szCs w:val="24"/>
        </w:rPr>
      </w:pPr>
      <w:r w:rsidRPr="003B3788">
        <w:rPr>
          <w:sz w:val="24"/>
          <w:szCs w:val="24"/>
        </w:rPr>
        <w:t>In its applicat</w:t>
      </w:r>
      <w:r>
        <w:rPr>
          <w:sz w:val="24"/>
          <w:szCs w:val="24"/>
        </w:rPr>
        <w:t>ion for second tier review, t</w:t>
      </w:r>
      <w:r w:rsidRPr="001F2612">
        <w:rPr>
          <w:sz w:val="24"/>
          <w:szCs w:val="24"/>
        </w:rPr>
        <w:t>he provider states that educators informed the assessor verbally about evacuation drills that were carried out at the service between May and September, however it was unable to find any completed documentation by the responsible educator. The provider advised that upon investigating this issue, it was established that the educator in charge did not record the rehearsal using the service’s dedicated logbook.</w:t>
      </w:r>
    </w:p>
    <w:p w:rsidR="001F2612" w:rsidRPr="001F2612" w:rsidRDefault="001F2612" w:rsidP="001F2612">
      <w:pPr>
        <w:pStyle w:val="ListParagraph"/>
        <w:rPr>
          <w:rFonts w:eastAsia="Symbol"/>
        </w:rPr>
      </w:pPr>
    </w:p>
    <w:p w:rsidR="001F2612" w:rsidRDefault="001F2612" w:rsidP="001F2612">
      <w:pPr>
        <w:pStyle w:val="ListParagraph"/>
        <w:numPr>
          <w:ilvl w:val="0"/>
          <w:numId w:val="2"/>
        </w:numPr>
        <w:tabs>
          <w:tab w:val="right" w:pos="9026"/>
        </w:tabs>
        <w:spacing w:before="0" w:after="0" w:line="240" w:lineRule="auto"/>
        <w:rPr>
          <w:rFonts w:cs="Arial"/>
          <w:color w:val="000000"/>
          <w:sz w:val="24"/>
          <w:szCs w:val="24"/>
        </w:rPr>
      </w:pPr>
      <w:r w:rsidRPr="001F2612">
        <w:rPr>
          <w:rFonts w:cs="Arial"/>
          <w:color w:val="000000"/>
          <w:sz w:val="24"/>
          <w:szCs w:val="24"/>
        </w:rPr>
        <w:t xml:space="preserve">The Panel noted that the provider advised that the service’s documentation process </w:t>
      </w:r>
      <w:r>
        <w:rPr>
          <w:rFonts w:cs="Arial"/>
          <w:color w:val="000000"/>
          <w:sz w:val="24"/>
          <w:szCs w:val="24"/>
        </w:rPr>
        <w:t xml:space="preserve">has been </w:t>
      </w:r>
      <w:r w:rsidRPr="001F2612">
        <w:rPr>
          <w:rFonts w:cs="Arial"/>
          <w:color w:val="000000"/>
          <w:sz w:val="24"/>
          <w:szCs w:val="24"/>
        </w:rPr>
        <w:t>revised and improved, with the introduction of checks and auditing tools to maintain consisten</w:t>
      </w:r>
      <w:r>
        <w:rPr>
          <w:rFonts w:cs="Arial"/>
          <w:color w:val="000000"/>
          <w:sz w:val="24"/>
          <w:szCs w:val="24"/>
        </w:rPr>
        <w:t>cy and quality of documentation.</w:t>
      </w:r>
    </w:p>
    <w:p w:rsidR="001F2612" w:rsidRPr="001F2612" w:rsidRDefault="001F2612" w:rsidP="001F2612">
      <w:pPr>
        <w:pStyle w:val="ListParagraph"/>
        <w:rPr>
          <w:rFonts w:eastAsia="Symbol"/>
        </w:rPr>
      </w:pPr>
    </w:p>
    <w:p w:rsidR="00044698" w:rsidRDefault="001F2612" w:rsidP="00044698">
      <w:pPr>
        <w:pStyle w:val="ListParagraph"/>
        <w:numPr>
          <w:ilvl w:val="0"/>
          <w:numId w:val="2"/>
        </w:numPr>
        <w:tabs>
          <w:tab w:val="right" w:pos="9026"/>
        </w:tabs>
        <w:spacing w:before="0" w:after="0" w:line="240" w:lineRule="auto"/>
        <w:rPr>
          <w:rFonts w:cs="Arial"/>
          <w:color w:val="000000"/>
          <w:sz w:val="24"/>
          <w:szCs w:val="24"/>
        </w:rPr>
      </w:pPr>
      <w:r w:rsidRPr="001F2612">
        <w:rPr>
          <w:rFonts w:cs="Arial"/>
          <w:color w:val="000000"/>
          <w:sz w:val="24"/>
          <w:szCs w:val="24"/>
        </w:rPr>
        <w:t>The Panel again noted that the rating of a service is a point in time assessment. However, the Panel also noted that the provider was offered a minor adjustment on 23 January 2014 in relation to the service’s emergency plans. However, the regulatory authority concluded that the further information received from the provider was not suffi</w:t>
      </w:r>
      <w:r w:rsidR="00044698">
        <w:rPr>
          <w:rFonts w:cs="Arial"/>
          <w:color w:val="000000"/>
          <w:sz w:val="24"/>
          <w:szCs w:val="24"/>
        </w:rPr>
        <w:t>cient to demonstrate compliance.</w:t>
      </w:r>
    </w:p>
    <w:p w:rsidR="00044698" w:rsidRPr="00044698" w:rsidRDefault="00044698" w:rsidP="00044698">
      <w:pPr>
        <w:pStyle w:val="ListParagraph"/>
        <w:rPr>
          <w:rFonts w:eastAsia="Symbol"/>
        </w:rPr>
      </w:pPr>
    </w:p>
    <w:p w:rsidR="001F2612" w:rsidRDefault="001F2612" w:rsidP="00044698">
      <w:pPr>
        <w:pStyle w:val="ListParagraph"/>
        <w:numPr>
          <w:ilvl w:val="0"/>
          <w:numId w:val="2"/>
        </w:numPr>
        <w:tabs>
          <w:tab w:val="right" w:pos="9026"/>
        </w:tabs>
        <w:spacing w:before="0" w:after="0" w:line="240" w:lineRule="auto"/>
        <w:rPr>
          <w:rFonts w:cs="Arial"/>
          <w:color w:val="000000"/>
          <w:sz w:val="24"/>
          <w:szCs w:val="24"/>
        </w:rPr>
      </w:pPr>
      <w:r w:rsidRPr="00044698">
        <w:rPr>
          <w:rFonts w:cs="Arial"/>
          <w:color w:val="000000"/>
          <w:sz w:val="24"/>
          <w:szCs w:val="24"/>
        </w:rPr>
        <w:t>The Panel concluded that, based on the available information, it did not consider that p</w:t>
      </w:r>
      <w:r w:rsidR="00DD434D">
        <w:rPr>
          <w:rFonts w:cs="Arial"/>
          <w:color w:val="000000"/>
          <w:sz w:val="24"/>
          <w:szCs w:val="24"/>
        </w:rPr>
        <w:t>l</w:t>
      </w:r>
      <w:r w:rsidRPr="00044698">
        <w:rPr>
          <w:rFonts w:cs="Arial"/>
          <w:color w:val="000000"/>
          <w:sz w:val="24"/>
          <w:szCs w:val="24"/>
        </w:rPr>
        <w:t>ans to effectively manage incidents and emergencies at the service were developed in consultation with relevant authorities, and were practised and implemented as required, at the time of the assessment and rating.</w:t>
      </w:r>
    </w:p>
    <w:p w:rsidR="00044698" w:rsidRPr="00044698" w:rsidRDefault="00044698" w:rsidP="00044698">
      <w:pPr>
        <w:pStyle w:val="ListParagraph"/>
        <w:rPr>
          <w:rFonts w:cs="Arial"/>
          <w:color w:val="000000"/>
          <w:sz w:val="24"/>
          <w:szCs w:val="24"/>
        </w:rPr>
      </w:pPr>
    </w:p>
    <w:p w:rsidR="001F2612" w:rsidRDefault="00044698" w:rsidP="00044698">
      <w:pPr>
        <w:pStyle w:val="ListParagraph"/>
        <w:numPr>
          <w:ilvl w:val="0"/>
          <w:numId w:val="2"/>
        </w:numPr>
        <w:tabs>
          <w:tab w:val="right" w:pos="9026"/>
        </w:tabs>
        <w:spacing w:before="0" w:after="0" w:line="240" w:lineRule="auto"/>
        <w:rPr>
          <w:rFonts w:cs="Arial"/>
          <w:color w:val="000000"/>
          <w:sz w:val="24"/>
          <w:szCs w:val="24"/>
        </w:rPr>
      </w:pPr>
      <w:r>
        <w:rPr>
          <w:rFonts w:cs="Arial"/>
          <w:color w:val="000000"/>
          <w:sz w:val="24"/>
          <w:szCs w:val="24"/>
        </w:rPr>
        <w:t>T</w:t>
      </w:r>
      <w:r w:rsidR="001F2612" w:rsidRPr="00044698">
        <w:rPr>
          <w:rFonts w:cs="Arial"/>
          <w:color w:val="000000"/>
          <w:sz w:val="24"/>
          <w:szCs w:val="24"/>
        </w:rPr>
        <w:t xml:space="preserve">he Panel agreed that </w:t>
      </w:r>
      <w:r>
        <w:rPr>
          <w:rFonts w:cs="Arial"/>
          <w:color w:val="000000"/>
          <w:sz w:val="24"/>
          <w:szCs w:val="24"/>
        </w:rPr>
        <w:t xml:space="preserve">the assessment of </w:t>
      </w:r>
      <w:r w:rsidR="001F2612" w:rsidRPr="00044698">
        <w:rPr>
          <w:rFonts w:cs="Arial"/>
          <w:color w:val="000000"/>
          <w:sz w:val="24"/>
          <w:szCs w:val="24"/>
        </w:rPr>
        <w:t>element 2.3.3 re</w:t>
      </w:r>
      <w:r>
        <w:rPr>
          <w:rFonts w:cs="Arial"/>
          <w:color w:val="000000"/>
          <w:sz w:val="24"/>
          <w:szCs w:val="24"/>
        </w:rPr>
        <w:t>mains at</w:t>
      </w:r>
      <w:r w:rsidR="001F2612" w:rsidRPr="00044698">
        <w:rPr>
          <w:rFonts w:cs="Arial"/>
          <w:color w:val="000000"/>
          <w:sz w:val="24"/>
          <w:szCs w:val="24"/>
        </w:rPr>
        <w:t xml:space="preserve"> ‘not met’.</w:t>
      </w:r>
    </w:p>
    <w:p w:rsidR="00044698" w:rsidRPr="00044698" w:rsidRDefault="00044698" w:rsidP="00044698">
      <w:pPr>
        <w:pStyle w:val="ListParagraph"/>
        <w:rPr>
          <w:rFonts w:cs="Arial"/>
          <w:color w:val="000000"/>
          <w:sz w:val="24"/>
          <w:szCs w:val="24"/>
        </w:rPr>
      </w:pPr>
    </w:p>
    <w:p w:rsidR="001F2612" w:rsidRPr="001938A2" w:rsidRDefault="001F2612" w:rsidP="00044698">
      <w:pPr>
        <w:pStyle w:val="ListParagraph"/>
        <w:numPr>
          <w:ilvl w:val="0"/>
          <w:numId w:val="2"/>
        </w:numPr>
        <w:tabs>
          <w:tab w:val="right" w:pos="9026"/>
        </w:tabs>
        <w:spacing w:before="0" w:after="0" w:line="240" w:lineRule="auto"/>
        <w:rPr>
          <w:rFonts w:cs="Arial"/>
          <w:color w:val="000000"/>
          <w:sz w:val="24"/>
          <w:szCs w:val="24"/>
        </w:rPr>
      </w:pPr>
      <w:r w:rsidRPr="00044698">
        <w:rPr>
          <w:rFonts w:cs="Arial"/>
          <w:color w:val="000000"/>
          <w:sz w:val="24"/>
          <w:szCs w:val="24"/>
        </w:rPr>
        <w:t>The Panel m</w:t>
      </w:r>
      <w:r w:rsidR="001938A2">
        <w:rPr>
          <w:rFonts w:cs="Arial"/>
          <w:color w:val="000000"/>
          <w:sz w:val="24"/>
          <w:szCs w:val="24"/>
        </w:rPr>
        <w:t>ade note of the provider’s concerns</w:t>
      </w:r>
      <w:r w:rsidRPr="00044698">
        <w:rPr>
          <w:rFonts w:cs="Arial"/>
          <w:color w:val="000000"/>
          <w:sz w:val="24"/>
          <w:szCs w:val="24"/>
        </w:rPr>
        <w:t xml:space="preserve"> that the assessor’s hand writing in the Assessment and Rating Instrument is very difficult to read, which made it challenging for the provider to address the comments made</w:t>
      </w:r>
      <w:r w:rsidRPr="001938A2">
        <w:rPr>
          <w:rFonts w:cs="Arial"/>
          <w:color w:val="000000"/>
          <w:sz w:val="24"/>
          <w:szCs w:val="24"/>
        </w:rPr>
        <w:t>.</w:t>
      </w:r>
      <w:r w:rsidR="001938A2" w:rsidRPr="001938A2">
        <w:rPr>
          <w:rFonts w:eastAsia="Symbol"/>
          <w:sz w:val="24"/>
          <w:szCs w:val="24"/>
        </w:rPr>
        <w:t xml:space="preserve"> The Panel noted this was a fair comment and requested that the Regulatory Authority take on this feedback.</w:t>
      </w:r>
    </w:p>
    <w:p w:rsidR="00C24157" w:rsidRDefault="00C24157" w:rsidP="00C24157">
      <w:pPr>
        <w:pStyle w:val="ListNumber"/>
        <w:numPr>
          <w:ilvl w:val="0"/>
          <w:numId w:val="0"/>
        </w:numPr>
        <w:pBdr>
          <w:bottom w:val="single" w:sz="4" w:space="2" w:color="auto"/>
        </w:pBdr>
        <w:rPr>
          <w:rStyle w:val="Strong"/>
          <w:rFonts w:cs="Arial"/>
          <w:sz w:val="28"/>
          <w:szCs w:val="28"/>
        </w:rPr>
      </w:pPr>
    </w:p>
    <w:p w:rsidR="00C24157" w:rsidRPr="00E300C7" w:rsidRDefault="00C24157" w:rsidP="00C24157">
      <w:pPr>
        <w:pStyle w:val="BodyText"/>
        <w:spacing w:before="360"/>
        <w:rPr>
          <w:rFonts w:cs="Arial"/>
          <w:sz w:val="28"/>
          <w:szCs w:val="28"/>
        </w:rPr>
      </w:pPr>
      <w:r>
        <w:rPr>
          <w:rStyle w:val="Strong"/>
          <w:rFonts w:cs="Arial"/>
          <w:sz w:val="28"/>
          <w:szCs w:val="28"/>
        </w:rPr>
        <w:t>D</w:t>
      </w:r>
      <w:r w:rsidRPr="00F23B77">
        <w:rPr>
          <w:rStyle w:val="Strong"/>
          <w:rFonts w:cs="Arial"/>
          <w:sz w:val="28"/>
          <w:szCs w:val="28"/>
        </w:rPr>
        <w:t>ecision</w:t>
      </w:r>
      <w:r>
        <w:rPr>
          <w:rFonts w:cs="Arial"/>
          <w:sz w:val="28"/>
          <w:szCs w:val="28"/>
        </w:rPr>
        <w:tab/>
      </w:r>
    </w:p>
    <w:p w:rsidR="00C24157" w:rsidRDefault="00C24157" w:rsidP="00C24157">
      <w:pPr>
        <w:pStyle w:val="ListParagraph"/>
        <w:spacing w:before="0" w:after="0" w:line="240" w:lineRule="auto"/>
        <w:ind w:left="0"/>
        <w:rPr>
          <w:sz w:val="24"/>
          <w:szCs w:val="24"/>
        </w:rPr>
      </w:pPr>
      <w:r w:rsidRPr="00471FB9">
        <w:rPr>
          <w:rFonts w:cs="Arial"/>
          <w:sz w:val="24"/>
          <w:szCs w:val="24"/>
          <w14:cntxtAlts/>
        </w:rPr>
        <w:t xml:space="preserve">The </w:t>
      </w:r>
      <w:r>
        <w:rPr>
          <w:rFonts w:cs="Arial"/>
          <w:sz w:val="24"/>
          <w:szCs w:val="24"/>
          <w14:cntxtAlts/>
        </w:rPr>
        <w:t>Panel</w:t>
      </w:r>
      <w:r w:rsidRPr="00471FB9">
        <w:rPr>
          <w:rFonts w:cs="Arial"/>
          <w:sz w:val="24"/>
          <w:szCs w:val="24"/>
          <w14:cntxtAlts/>
        </w:rPr>
        <w:t xml:space="preserve"> by consensus decided to confirm the assessment of elements </w:t>
      </w:r>
      <w:r>
        <w:rPr>
          <w:sz w:val="24"/>
          <w:szCs w:val="24"/>
        </w:rPr>
        <w:t xml:space="preserve">2.1.4 and 2.3.3 </w:t>
      </w:r>
      <w:r w:rsidRPr="00471FB9">
        <w:rPr>
          <w:rFonts w:cs="Arial"/>
          <w:sz w:val="24"/>
          <w:szCs w:val="24"/>
          <w14:cntxtAlts/>
        </w:rPr>
        <w:t>remain a</w:t>
      </w:r>
      <w:r>
        <w:rPr>
          <w:rFonts w:cs="Arial"/>
          <w:sz w:val="24"/>
          <w:szCs w:val="24"/>
          <w14:cntxtAlts/>
        </w:rPr>
        <w:t>t</w:t>
      </w:r>
      <w:r w:rsidRPr="00471FB9">
        <w:rPr>
          <w:rFonts w:cs="Arial"/>
          <w:sz w:val="24"/>
          <w:szCs w:val="24"/>
          <w14:cntxtAlts/>
        </w:rPr>
        <w:t xml:space="preserve"> ‘not met’. </w:t>
      </w:r>
    </w:p>
    <w:p w:rsidR="00C24157" w:rsidRDefault="00C24157" w:rsidP="00C24157">
      <w:pPr>
        <w:pStyle w:val="ListParagraph"/>
        <w:spacing w:before="0" w:after="0" w:line="240" w:lineRule="auto"/>
        <w:ind w:left="0"/>
        <w:rPr>
          <w:sz w:val="24"/>
          <w:szCs w:val="24"/>
        </w:rPr>
      </w:pPr>
    </w:p>
    <w:p w:rsidR="00C24157" w:rsidRPr="00471FB9" w:rsidRDefault="00C24157" w:rsidP="00C24157">
      <w:pPr>
        <w:pStyle w:val="ListParagraph"/>
        <w:spacing w:before="0" w:after="0" w:line="240" w:lineRule="auto"/>
        <w:ind w:left="0"/>
        <w:rPr>
          <w:sz w:val="24"/>
          <w:szCs w:val="24"/>
        </w:rPr>
      </w:pPr>
      <w:r w:rsidRPr="00471FB9">
        <w:rPr>
          <w:rFonts w:cs="Arial"/>
          <w:sz w:val="24"/>
          <w:szCs w:val="24"/>
          <w14:cntxtAlts/>
        </w:rPr>
        <w:t>As a result, the Panel by consensus confirmed the rating for s</w:t>
      </w:r>
      <w:r w:rsidRPr="00471FB9">
        <w:rPr>
          <w:sz w:val="24"/>
          <w:szCs w:val="24"/>
        </w:rPr>
        <w:t xml:space="preserve">tandards </w:t>
      </w:r>
      <w:r>
        <w:rPr>
          <w:sz w:val="24"/>
          <w:szCs w:val="24"/>
        </w:rPr>
        <w:t xml:space="preserve">2.1 and 2.3 </w:t>
      </w:r>
      <w:r w:rsidRPr="00471FB9">
        <w:rPr>
          <w:sz w:val="24"/>
          <w:szCs w:val="24"/>
        </w:rPr>
        <w:t>remain at ‘Working Towards NQS’.</w:t>
      </w:r>
    </w:p>
    <w:p w:rsidR="00C24157" w:rsidRDefault="00C24157" w:rsidP="00C24157">
      <w:pPr>
        <w:pStyle w:val="ListParagraph"/>
        <w:spacing w:before="0" w:after="0" w:line="240" w:lineRule="auto"/>
        <w:ind w:left="0"/>
        <w:rPr>
          <w:sz w:val="24"/>
          <w:szCs w:val="24"/>
        </w:rPr>
      </w:pPr>
    </w:p>
    <w:p w:rsidR="00C24157" w:rsidRPr="0086549E" w:rsidRDefault="00C24157" w:rsidP="00C24157">
      <w:pPr>
        <w:pStyle w:val="ListParagraph"/>
        <w:spacing w:before="0" w:after="0" w:line="240" w:lineRule="auto"/>
        <w:ind w:left="0"/>
        <w:rPr>
          <w:rFonts w:cs="Arial"/>
          <w:b/>
          <w:sz w:val="24"/>
          <w:szCs w:val="24"/>
          <w14:cntxtAlts/>
        </w:rPr>
      </w:pPr>
      <w:r w:rsidRPr="0086549E">
        <w:rPr>
          <w:rStyle w:val="Strong"/>
          <w:rFonts w:cs="Arial"/>
          <w:b w:val="0"/>
          <w:sz w:val="24"/>
          <w:szCs w:val="24"/>
          <w14:cntxtAlts/>
        </w:rPr>
        <w:t>The Panel confirmed that the overall rating for the service remains at ‘Working Towards NQS’</w:t>
      </w:r>
      <w:r w:rsidRPr="0086549E">
        <w:rPr>
          <w:rFonts w:cs="Arial"/>
          <w:b/>
          <w:sz w:val="24"/>
          <w:szCs w:val="24"/>
          <w14:cntxtAlts/>
        </w:rPr>
        <w:t>.</w:t>
      </w:r>
    </w:p>
    <w:p w:rsidR="005D4BA3" w:rsidRDefault="005D4BA3" w:rsidP="00717F33">
      <w:pPr>
        <w:pStyle w:val="ListParagraph"/>
        <w:spacing w:before="0" w:after="0" w:line="240" w:lineRule="auto"/>
        <w:ind w:left="680"/>
        <w:rPr>
          <w:sz w:val="24"/>
          <w:szCs w:val="24"/>
        </w:rPr>
      </w:pPr>
    </w:p>
    <w:sectPr w:rsidR="005D4BA3" w:rsidSect="00CA1203">
      <w:headerReference w:type="default" r:id="rId9"/>
      <w:footerReference w:type="default" r:id="rId10"/>
      <w:headerReference w:type="first" r:id="rId11"/>
      <w:footerReference w:type="first" r:id="rId12"/>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6F" w:rsidRDefault="00C33F6F" w:rsidP="006B3974">
      <w:pPr>
        <w:spacing w:after="0" w:line="240" w:lineRule="auto"/>
      </w:pPr>
      <w:r>
        <w:separator/>
      </w:r>
    </w:p>
  </w:endnote>
  <w:endnote w:type="continuationSeparator" w:id="0">
    <w:p w:rsidR="00C33F6F" w:rsidRDefault="00C33F6F"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Footer"/>
      <w:jc w:val="right"/>
    </w:pPr>
    <w:r>
      <w:fldChar w:fldCharType="begin"/>
    </w:r>
    <w:r>
      <w:instrText xml:space="preserve"> PAGE   \* MERGEFORMAT </w:instrText>
    </w:r>
    <w:r>
      <w:fldChar w:fldCharType="separate"/>
    </w:r>
    <w:r w:rsidR="00A8038A">
      <w:rPr>
        <w:noProof/>
      </w:rPr>
      <w:t>4</w:t>
    </w:r>
    <w:r>
      <w:rPr>
        <w:noProof/>
      </w:rPr>
      <w:fldChar w:fldCharType="end"/>
    </w:r>
  </w:p>
  <w:p w:rsidR="00BB4934" w:rsidRPr="00515609" w:rsidRDefault="00BB4934" w:rsidP="00515609">
    <w:pPr>
      <w:pStyle w:val="Footer"/>
      <w:jc w:val="center"/>
      <w:rPr>
        <w:i/>
        <w:color w:val="7F7F7F"/>
      </w:rPr>
    </w:pPr>
    <w:r w:rsidRPr="00515609">
      <w:rPr>
        <w:i/>
        <w:color w:val="7F7F7F"/>
      </w:rPr>
      <w:t>The best possible start in life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Footer"/>
    </w:pPr>
    <w:r>
      <w:rPr>
        <w:noProof/>
        <w:lang w:val="en-US" w:eastAsia="en-US"/>
      </w:rPr>
      <w:drawing>
        <wp:anchor distT="0" distB="0" distL="114300" distR="114300" simplePos="0" relativeHeight="251655168" behindDoc="0" locked="0" layoutInCell="1" allowOverlap="1" wp14:anchorId="64097B1E" wp14:editId="5AC51154">
          <wp:simplePos x="0" y="0"/>
          <wp:positionH relativeFrom="margin">
            <wp:posOffset>-925830</wp:posOffset>
          </wp:positionH>
          <wp:positionV relativeFrom="margin">
            <wp:posOffset>8109585</wp:posOffset>
          </wp:positionV>
          <wp:extent cx="7642225" cy="2787650"/>
          <wp:effectExtent l="0" t="0" r="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6F" w:rsidRDefault="00C33F6F" w:rsidP="006B3974">
      <w:pPr>
        <w:spacing w:after="0" w:line="240" w:lineRule="auto"/>
      </w:pPr>
      <w:r>
        <w:separator/>
      </w:r>
    </w:p>
  </w:footnote>
  <w:footnote w:type="continuationSeparator" w:id="0">
    <w:p w:rsidR="00C33F6F" w:rsidRDefault="00C33F6F" w:rsidP="006B39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Header"/>
    </w:pPr>
    <w:r>
      <w:rPr>
        <w:noProof/>
        <w:lang w:val="en-US" w:eastAsia="en-US"/>
      </w:rPr>
      <w:drawing>
        <wp:anchor distT="0" distB="0" distL="114300" distR="114300" simplePos="0" relativeHeight="251660288" behindDoc="0" locked="0" layoutInCell="1" allowOverlap="1" wp14:anchorId="3FFE737D" wp14:editId="1FA161A5">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4" w:rsidRDefault="00BB4934">
    <w:pPr>
      <w:pStyle w:val="Header"/>
    </w:pPr>
    <w:r>
      <w:rPr>
        <w:noProof/>
        <w:lang w:val="en-US" w:eastAsia="en-US"/>
      </w:rPr>
      <w:drawing>
        <wp:anchor distT="0" distB="0" distL="114300" distR="114300" simplePos="0" relativeHeight="251658240" behindDoc="0" locked="0" layoutInCell="1" allowOverlap="1" wp14:anchorId="58F9EE30" wp14:editId="07339D01">
          <wp:simplePos x="0" y="0"/>
          <wp:positionH relativeFrom="margin">
            <wp:posOffset>-750570</wp:posOffset>
          </wp:positionH>
          <wp:positionV relativeFrom="margin">
            <wp:posOffset>-1201420</wp:posOffset>
          </wp:positionV>
          <wp:extent cx="2533650" cy="103124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50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D47BA6"/>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790510E"/>
    <w:multiLevelType w:val="hybridMultilevel"/>
    <w:tmpl w:val="7B34D84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nsid w:val="0E6F6959"/>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1819E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6411F2"/>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09696D"/>
    <w:multiLevelType w:val="hybridMultilevel"/>
    <w:tmpl w:val="74960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D41FD5"/>
    <w:multiLevelType w:val="hybridMultilevel"/>
    <w:tmpl w:val="BB7CF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6A6051"/>
    <w:multiLevelType w:val="hybridMultilevel"/>
    <w:tmpl w:val="8FD4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D312F9"/>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8E537B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A40492C"/>
    <w:multiLevelType w:val="hybridMultilevel"/>
    <w:tmpl w:val="C16CE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DDE76BD"/>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2B11C17"/>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9AF6B4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267477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5F503F"/>
    <w:multiLevelType w:val="hybridMultilevel"/>
    <w:tmpl w:val="80BC3EB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9">
    <w:nsid w:val="37212871"/>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8FA1B2B"/>
    <w:multiLevelType w:val="hybridMultilevel"/>
    <w:tmpl w:val="DEB0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8B2C4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0CA50E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3526699"/>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41770C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1A0E11"/>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9E22F44"/>
    <w:multiLevelType w:val="multilevel"/>
    <w:tmpl w:val="1278EC98"/>
    <w:lvl w:ilvl="0">
      <w:start w:val="1"/>
      <w:numFmt w:val="decimal"/>
      <w:lvlText w:val="%1."/>
      <w:lvlJc w:val="left"/>
      <w:pPr>
        <w:ind w:left="680" w:hanging="567"/>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B8F617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CC144CE"/>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D3A6F4A"/>
    <w:multiLevelType w:val="multilevel"/>
    <w:tmpl w:val="BFF81A0E"/>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767992"/>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E606E9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E77613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7C75C7"/>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DD874CD"/>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E5A7AAF"/>
    <w:multiLevelType w:val="multilevel"/>
    <w:tmpl w:val="EF181FC2"/>
    <w:lvl w:ilvl="0">
      <w:start w:val="1"/>
      <w:numFmt w:val="lowerLetter"/>
      <w:lvlText w:val="%1."/>
      <w:lvlJc w:val="left"/>
      <w:pPr>
        <w:tabs>
          <w:tab w:val="num" w:pos="2268"/>
        </w:tabs>
        <w:ind w:left="2268"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F575932"/>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0B1280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1EB404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36D115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4420F80"/>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1301C06"/>
    <w:multiLevelType w:val="hybridMultilevel"/>
    <w:tmpl w:val="B1127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A86CF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6BF5CB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C731E6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6"/>
  </w:num>
  <w:num w:numId="4">
    <w:abstractNumId w:val="16"/>
  </w:num>
  <w:num w:numId="5">
    <w:abstractNumId w:val="1"/>
  </w:num>
  <w:num w:numId="6">
    <w:abstractNumId w:val="25"/>
  </w:num>
  <w:num w:numId="7">
    <w:abstractNumId w:val="29"/>
  </w:num>
  <w:num w:numId="8">
    <w:abstractNumId w:val="3"/>
  </w:num>
  <w:num w:numId="9">
    <w:abstractNumId w:val="8"/>
  </w:num>
  <w:num w:numId="10">
    <w:abstractNumId w:val="10"/>
  </w:num>
  <w:num w:numId="11">
    <w:abstractNumId w:val="18"/>
  </w:num>
  <w:num w:numId="12">
    <w:abstractNumId w:val="39"/>
  </w:num>
  <w:num w:numId="13">
    <w:abstractNumId w:val="27"/>
  </w:num>
  <w:num w:numId="14">
    <w:abstractNumId w:val="5"/>
  </w:num>
  <w:num w:numId="15">
    <w:abstractNumId w:val="0"/>
  </w:num>
  <w:num w:numId="16">
    <w:abstractNumId w:val="13"/>
  </w:num>
  <w:num w:numId="17">
    <w:abstractNumId w:val="28"/>
  </w:num>
  <w:num w:numId="18">
    <w:abstractNumId w:val="41"/>
  </w:num>
  <w:num w:numId="19">
    <w:abstractNumId w:val="6"/>
  </w:num>
  <w:num w:numId="20">
    <w:abstractNumId w:val="23"/>
  </w:num>
  <w:num w:numId="21">
    <w:abstractNumId w:val="11"/>
  </w:num>
  <w:num w:numId="22">
    <w:abstractNumId w:val="37"/>
  </w:num>
  <w:num w:numId="23">
    <w:abstractNumId w:val="19"/>
  </w:num>
  <w:num w:numId="24">
    <w:abstractNumId w:val="14"/>
  </w:num>
  <w:num w:numId="25">
    <w:abstractNumId w:val="35"/>
  </w:num>
  <w:num w:numId="26">
    <w:abstractNumId w:val="15"/>
  </w:num>
  <w:num w:numId="27">
    <w:abstractNumId w:val="9"/>
  </w:num>
  <w:num w:numId="28">
    <w:abstractNumId w:val="22"/>
  </w:num>
  <w:num w:numId="29">
    <w:abstractNumId w:val="4"/>
  </w:num>
  <w:num w:numId="30">
    <w:abstractNumId w:val="42"/>
  </w:num>
  <w:num w:numId="31">
    <w:abstractNumId w:val="17"/>
  </w:num>
  <w:num w:numId="32">
    <w:abstractNumId w:val="40"/>
  </w:num>
  <w:num w:numId="33">
    <w:abstractNumId w:val="36"/>
  </w:num>
  <w:num w:numId="34">
    <w:abstractNumId w:val="31"/>
  </w:num>
  <w:num w:numId="35">
    <w:abstractNumId w:val="43"/>
  </w:num>
  <w:num w:numId="36">
    <w:abstractNumId w:val="21"/>
  </w:num>
  <w:num w:numId="37">
    <w:abstractNumId w:val="38"/>
  </w:num>
  <w:num w:numId="38">
    <w:abstractNumId w:val="44"/>
  </w:num>
  <w:num w:numId="39">
    <w:abstractNumId w:val="32"/>
  </w:num>
  <w:num w:numId="40">
    <w:abstractNumId w:val="33"/>
  </w:num>
  <w:num w:numId="41">
    <w:abstractNumId w:val="9"/>
  </w:num>
  <w:num w:numId="42">
    <w:abstractNumId w:val="24"/>
  </w:num>
  <w:num w:numId="43">
    <w:abstractNumId w:val="24"/>
  </w:num>
  <w:num w:numId="44">
    <w:abstractNumId w:val="24"/>
  </w:num>
  <w:num w:numId="45">
    <w:abstractNumId w:val="24"/>
  </w:num>
  <w:num w:numId="46">
    <w:abstractNumId w:val="12"/>
  </w:num>
  <w:num w:numId="47">
    <w:abstractNumId w:val="7"/>
  </w:num>
  <w:num w:numId="48">
    <w:abstractNumId w:val="30"/>
  </w:num>
  <w:num w:numId="49">
    <w:abstractNumId w:val="20"/>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1491B"/>
    <w:rsid w:val="000150F6"/>
    <w:rsid w:val="00020D7F"/>
    <w:rsid w:val="00025822"/>
    <w:rsid w:val="00026BAF"/>
    <w:rsid w:val="0002764B"/>
    <w:rsid w:val="00027A91"/>
    <w:rsid w:val="00034389"/>
    <w:rsid w:val="00035E39"/>
    <w:rsid w:val="00036EF1"/>
    <w:rsid w:val="00040FAF"/>
    <w:rsid w:val="00044698"/>
    <w:rsid w:val="00054430"/>
    <w:rsid w:val="00057CDE"/>
    <w:rsid w:val="000618F8"/>
    <w:rsid w:val="000633EA"/>
    <w:rsid w:val="00070B0C"/>
    <w:rsid w:val="00073508"/>
    <w:rsid w:val="000755D1"/>
    <w:rsid w:val="000912AC"/>
    <w:rsid w:val="000915F5"/>
    <w:rsid w:val="0009186E"/>
    <w:rsid w:val="000929AB"/>
    <w:rsid w:val="00097405"/>
    <w:rsid w:val="000A1129"/>
    <w:rsid w:val="000A2A11"/>
    <w:rsid w:val="000A3B97"/>
    <w:rsid w:val="000A539B"/>
    <w:rsid w:val="000A55D2"/>
    <w:rsid w:val="000B2615"/>
    <w:rsid w:val="000B43B2"/>
    <w:rsid w:val="000B6EE0"/>
    <w:rsid w:val="000B7BE7"/>
    <w:rsid w:val="000C01F5"/>
    <w:rsid w:val="000C170C"/>
    <w:rsid w:val="000C1FD4"/>
    <w:rsid w:val="000C4DC8"/>
    <w:rsid w:val="000C608C"/>
    <w:rsid w:val="000D4D43"/>
    <w:rsid w:val="000D66D1"/>
    <w:rsid w:val="000E10FB"/>
    <w:rsid w:val="000E187D"/>
    <w:rsid w:val="000E4796"/>
    <w:rsid w:val="000E4F3E"/>
    <w:rsid w:val="000E5C29"/>
    <w:rsid w:val="000F3E5C"/>
    <w:rsid w:val="000F4A7D"/>
    <w:rsid w:val="000F5839"/>
    <w:rsid w:val="000F67D8"/>
    <w:rsid w:val="000F7BEC"/>
    <w:rsid w:val="000F7FCC"/>
    <w:rsid w:val="001026BD"/>
    <w:rsid w:val="00105EB3"/>
    <w:rsid w:val="001127F6"/>
    <w:rsid w:val="00112CF3"/>
    <w:rsid w:val="001213B9"/>
    <w:rsid w:val="00121DCF"/>
    <w:rsid w:val="00136FC5"/>
    <w:rsid w:val="00143526"/>
    <w:rsid w:val="00143864"/>
    <w:rsid w:val="00146340"/>
    <w:rsid w:val="00147535"/>
    <w:rsid w:val="00147712"/>
    <w:rsid w:val="001541C3"/>
    <w:rsid w:val="00155658"/>
    <w:rsid w:val="00156333"/>
    <w:rsid w:val="00162F42"/>
    <w:rsid w:val="00163FA3"/>
    <w:rsid w:val="00164207"/>
    <w:rsid w:val="00166CDA"/>
    <w:rsid w:val="00167166"/>
    <w:rsid w:val="001712D4"/>
    <w:rsid w:val="00173AF4"/>
    <w:rsid w:val="00174E2A"/>
    <w:rsid w:val="001832AF"/>
    <w:rsid w:val="00183FC4"/>
    <w:rsid w:val="0018751F"/>
    <w:rsid w:val="00190157"/>
    <w:rsid w:val="00191BC9"/>
    <w:rsid w:val="00192EEE"/>
    <w:rsid w:val="001938A2"/>
    <w:rsid w:val="00196602"/>
    <w:rsid w:val="001A09D2"/>
    <w:rsid w:val="001A15F5"/>
    <w:rsid w:val="001B6DA9"/>
    <w:rsid w:val="001C091A"/>
    <w:rsid w:val="001C0C57"/>
    <w:rsid w:val="001C20B3"/>
    <w:rsid w:val="001C3697"/>
    <w:rsid w:val="001D0CB1"/>
    <w:rsid w:val="001D1971"/>
    <w:rsid w:val="001D3664"/>
    <w:rsid w:val="001E2CF9"/>
    <w:rsid w:val="001E6616"/>
    <w:rsid w:val="001F0CCC"/>
    <w:rsid w:val="001F1AE7"/>
    <w:rsid w:val="001F2612"/>
    <w:rsid w:val="001F7BF5"/>
    <w:rsid w:val="00201A5E"/>
    <w:rsid w:val="00203E6E"/>
    <w:rsid w:val="00203EE3"/>
    <w:rsid w:val="0020499E"/>
    <w:rsid w:val="00207E2D"/>
    <w:rsid w:val="002157FE"/>
    <w:rsid w:val="002211ED"/>
    <w:rsid w:val="00221A0F"/>
    <w:rsid w:val="00223593"/>
    <w:rsid w:val="0022373A"/>
    <w:rsid w:val="00224B6F"/>
    <w:rsid w:val="00227D76"/>
    <w:rsid w:val="0023370C"/>
    <w:rsid w:val="00235D1C"/>
    <w:rsid w:val="00237409"/>
    <w:rsid w:val="00237A63"/>
    <w:rsid w:val="00246F5D"/>
    <w:rsid w:val="0025052F"/>
    <w:rsid w:val="00254276"/>
    <w:rsid w:val="002604A4"/>
    <w:rsid w:val="002615DC"/>
    <w:rsid w:val="00262243"/>
    <w:rsid w:val="00265A01"/>
    <w:rsid w:val="00265E09"/>
    <w:rsid w:val="00267EA5"/>
    <w:rsid w:val="00272595"/>
    <w:rsid w:val="002741E5"/>
    <w:rsid w:val="00274F70"/>
    <w:rsid w:val="0027639A"/>
    <w:rsid w:val="002800DA"/>
    <w:rsid w:val="00280A98"/>
    <w:rsid w:val="002865A8"/>
    <w:rsid w:val="00286D0F"/>
    <w:rsid w:val="002930DB"/>
    <w:rsid w:val="00293899"/>
    <w:rsid w:val="00296313"/>
    <w:rsid w:val="00297105"/>
    <w:rsid w:val="002A0F72"/>
    <w:rsid w:val="002A4ADB"/>
    <w:rsid w:val="002A62F1"/>
    <w:rsid w:val="002A6D60"/>
    <w:rsid w:val="002A7F3A"/>
    <w:rsid w:val="002C0900"/>
    <w:rsid w:val="002C1F0B"/>
    <w:rsid w:val="002D3D61"/>
    <w:rsid w:val="002D4266"/>
    <w:rsid w:val="002D4791"/>
    <w:rsid w:val="002E154A"/>
    <w:rsid w:val="002E7492"/>
    <w:rsid w:val="002F055B"/>
    <w:rsid w:val="002F4D4A"/>
    <w:rsid w:val="00302622"/>
    <w:rsid w:val="00304430"/>
    <w:rsid w:val="00305ECC"/>
    <w:rsid w:val="00306AC7"/>
    <w:rsid w:val="00306D0F"/>
    <w:rsid w:val="00310B07"/>
    <w:rsid w:val="00312149"/>
    <w:rsid w:val="00315E80"/>
    <w:rsid w:val="00316848"/>
    <w:rsid w:val="0032327E"/>
    <w:rsid w:val="0032411B"/>
    <w:rsid w:val="00325E55"/>
    <w:rsid w:val="00326174"/>
    <w:rsid w:val="00326FC5"/>
    <w:rsid w:val="003302CC"/>
    <w:rsid w:val="0033171D"/>
    <w:rsid w:val="00333975"/>
    <w:rsid w:val="00335B85"/>
    <w:rsid w:val="00335D3D"/>
    <w:rsid w:val="00341038"/>
    <w:rsid w:val="003411DD"/>
    <w:rsid w:val="003430A1"/>
    <w:rsid w:val="0034437C"/>
    <w:rsid w:val="00345F18"/>
    <w:rsid w:val="0035292C"/>
    <w:rsid w:val="00352D41"/>
    <w:rsid w:val="0035759C"/>
    <w:rsid w:val="00361D2F"/>
    <w:rsid w:val="00363CED"/>
    <w:rsid w:val="003646EA"/>
    <w:rsid w:val="00365EA1"/>
    <w:rsid w:val="003836C7"/>
    <w:rsid w:val="00384947"/>
    <w:rsid w:val="00384A60"/>
    <w:rsid w:val="0038743D"/>
    <w:rsid w:val="0039009C"/>
    <w:rsid w:val="003911B4"/>
    <w:rsid w:val="003A0201"/>
    <w:rsid w:val="003A2985"/>
    <w:rsid w:val="003A54EB"/>
    <w:rsid w:val="003B1E1A"/>
    <w:rsid w:val="003B3E57"/>
    <w:rsid w:val="003B42DB"/>
    <w:rsid w:val="003B635B"/>
    <w:rsid w:val="003C05C9"/>
    <w:rsid w:val="003D0BDE"/>
    <w:rsid w:val="003D2A16"/>
    <w:rsid w:val="003D320F"/>
    <w:rsid w:val="003E06FD"/>
    <w:rsid w:val="003E29D9"/>
    <w:rsid w:val="003E2E9D"/>
    <w:rsid w:val="003F2F48"/>
    <w:rsid w:val="003F3393"/>
    <w:rsid w:val="003F58C7"/>
    <w:rsid w:val="004009B6"/>
    <w:rsid w:val="00402415"/>
    <w:rsid w:val="004024DB"/>
    <w:rsid w:val="004062B8"/>
    <w:rsid w:val="004152A1"/>
    <w:rsid w:val="00417C54"/>
    <w:rsid w:val="00417D6B"/>
    <w:rsid w:val="00421B9E"/>
    <w:rsid w:val="00424AD4"/>
    <w:rsid w:val="0042544F"/>
    <w:rsid w:val="0043134B"/>
    <w:rsid w:val="00434052"/>
    <w:rsid w:val="00440213"/>
    <w:rsid w:val="00440300"/>
    <w:rsid w:val="00442B5A"/>
    <w:rsid w:val="0044379A"/>
    <w:rsid w:val="00444DC3"/>
    <w:rsid w:val="004468E9"/>
    <w:rsid w:val="00447E09"/>
    <w:rsid w:val="00450725"/>
    <w:rsid w:val="004507F9"/>
    <w:rsid w:val="00450E7D"/>
    <w:rsid w:val="00451FDB"/>
    <w:rsid w:val="004521BD"/>
    <w:rsid w:val="00452827"/>
    <w:rsid w:val="0046286E"/>
    <w:rsid w:val="004666D1"/>
    <w:rsid w:val="00466F13"/>
    <w:rsid w:val="00467CCA"/>
    <w:rsid w:val="00470E6F"/>
    <w:rsid w:val="00471FB9"/>
    <w:rsid w:val="0047252D"/>
    <w:rsid w:val="00475789"/>
    <w:rsid w:val="00480DDF"/>
    <w:rsid w:val="00483C8B"/>
    <w:rsid w:val="00486933"/>
    <w:rsid w:val="00487320"/>
    <w:rsid w:val="00490470"/>
    <w:rsid w:val="00491E29"/>
    <w:rsid w:val="00494058"/>
    <w:rsid w:val="00496D2C"/>
    <w:rsid w:val="004A2A9B"/>
    <w:rsid w:val="004A601F"/>
    <w:rsid w:val="004A7D2F"/>
    <w:rsid w:val="004B28B5"/>
    <w:rsid w:val="004B3610"/>
    <w:rsid w:val="004B4FBD"/>
    <w:rsid w:val="004B51AF"/>
    <w:rsid w:val="004B6F4D"/>
    <w:rsid w:val="004B7EC1"/>
    <w:rsid w:val="004C0DC9"/>
    <w:rsid w:val="004C23FB"/>
    <w:rsid w:val="004C3FCE"/>
    <w:rsid w:val="004C45EF"/>
    <w:rsid w:val="004D04DA"/>
    <w:rsid w:val="004D2434"/>
    <w:rsid w:val="004D329E"/>
    <w:rsid w:val="004D4193"/>
    <w:rsid w:val="004D5E4D"/>
    <w:rsid w:val="004E07F3"/>
    <w:rsid w:val="004E284A"/>
    <w:rsid w:val="004E4D38"/>
    <w:rsid w:val="004E51DA"/>
    <w:rsid w:val="004F2CD2"/>
    <w:rsid w:val="004F364E"/>
    <w:rsid w:val="004F717B"/>
    <w:rsid w:val="00506B14"/>
    <w:rsid w:val="00512A37"/>
    <w:rsid w:val="00515609"/>
    <w:rsid w:val="0052178E"/>
    <w:rsid w:val="005322C5"/>
    <w:rsid w:val="00537EB5"/>
    <w:rsid w:val="00542937"/>
    <w:rsid w:val="00543928"/>
    <w:rsid w:val="00556FBC"/>
    <w:rsid w:val="005575A9"/>
    <w:rsid w:val="00557DDA"/>
    <w:rsid w:val="005621D3"/>
    <w:rsid w:val="00573197"/>
    <w:rsid w:val="00582141"/>
    <w:rsid w:val="00587AC1"/>
    <w:rsid w:val="00590032"/>
    <w:rsid w:val="005905D6"/>
    <w:rsid w:val="005978C4"/>
    <w:rsid w:val="005A1689"/>
    <w:rsid w:val="005B2A59"/>
    <w:rsid w:val="005B5EFA"/>
    <w:rsid w:val="005B6BD3"/>
    <w:rsid w:val="005C2A1D"/>
    <w:rsid w:val="005C6996"/>
    <w:rsid w:val="005D14E7"/>
    <w:rsid w:val="005D29E3"/>
    <w:rsid w:val="005D4BA3"/>
    <w:rsid w:val="005D6735"/>
    <w:rsid w:val="005E03B8"/>
    <w:rsid w:val="005E4700"/>
    <w:rsid w:val="005E692A"/>
    <w:rsid w:val="005F0208"/>
    <w:rsid w:val="005F64B4"/>
    <w:rsid w:val="005F6AE1"/>
    <w:rsid w:val="005F7E21"/>
    <w:rsid w:val="00602334"/>
    <w:rsid w:val="00603DA9"/>
    <w:rsid w:val="006042DF"/>
    <w:rsid w:val="006047C4"/>
    <w:rsid w:val="0060644A"/>
    <w:rsid w:val="00606F96"/>
    <w:rsid w:val="00612AED"/>
    <w:rsid w:val="0062014D"/>
    <w:rsid w:val="00621E0D"/>
    <w:rsid w:val="00625F4A"/>
    <w:rsid w:val="00626702"/>
    <w:rsid w:val="00627933"/>
    <w:rsid w:val="00630074"/>
    <w:rsid w:val="0063211B"/>
    <w:rsid w:val="00633F04"/>
    <w:rsid w:val="006367C1"/>
    <w:rsid w:val="00637499"/>
    <w:rsid w:val="00637875"/>
    <w:rsid w:val="00637BED"/>
    <w:rsid w:val="00644DD8"/>
    <w:rsid w:val="00645998"/>
    <w:rsid w:val="00646A9C"/>
    <w:rsid w:val="006523E4"/>
    <w:rsid w:val="00653EC3"/>
    <w:rsid w:val="00654387"/>
    <w:rsid w:val="00655C30"/>
    <w:rsid w:val="00660166"/>
    <w:rsid w:val="00660519"/>
    <w:rsid w:val="006702EC"/>
    <w:rsid w:val="0067125E"/>
    <w:rsid w:val="00671C84"/>
    <w:rsid w:val="00675F44"/>
    <w:rsid w:val="00680B10"/>
    <w:rsid w:val="006832EE"/>
    <w:rsid w:val="00690380"/>
    <w:rsid w:val="006914B4"/>
    <w:rsid w:val="006916B5"/>
    <w:rsid w:val="006925C0"/>
    <w:rsid w:val="006946F6"/>
    <w:rsid w:val="00695686"/>
    <w:rsid w:val="006957D5"/>
    <w:rsid w:val="006969CE"/>
    <w:rsid w:val="0069769F"/>
    <w:rsid w:val="006A417E"/>
    <w:rsid w:val="006A4E45"/>
    <w:rsid w:val="006A606F"/>
    <w:rsid w:val="006A704D"/>
    <w:rsid w:val="006B06A6"/>
    <w:rsid w:val="006B364A"/>
    <w:rsid w:val="006B3974"/>
    <w:rsid w:val="006B44BC"/>
    <w:rsid w:val="006B6D04"/>
    <w:rsid w:val="006B7140"/>
    <w:rsid w:val="006C4BF9"/>
    <w:rsid w:val="006C68FE"/>
    <w:rsid w:val="006D0438"/>
    <w:rsid w:val="006D170C"/>
    <w:rsid w:val="006D718D"/>
    <w:rsid w:val="006E0C7D"/>
    <w:rsid w:val="006E23B9"/>
    <w:rsid w:val="006E495D"/>
    <w:rsid w:val="006E5E17"/>
    <w:rsid w:val="00701B40"/>
    <w:rsid w:val="0070237B"/>
    <w:rsid w:val="0070622F"/>
    <w:rsid w:val="0071454D"/>
    <w:rsid w:val="0071626D"/>
    <w:rsid w:val="007166F8"/>
    <w:rsid w:val="0071683A"/>
    <w:rsid w:val="00717DCF"/>
    <w:rsid w:val="00717F33"/>
    <w:rsid w:val="00724436"/>
    <w:rsid w:val="00726176"/>
    <w:rsid w:val="00732FF9"/>
    <w:rsid w:val="007363FB"/>
    <w:rsid w:val="00740F66"/>
    <w:rsid w:val="00743BFE"/>
    <w:rsid w:val="00743E45"/>
    <w:rsid w:val="0074482E"/>
    <w:rsid w:val="00746192"/>
    <w:rsid w:val="0074689B"/>
    <w:rsid w:val="00761239"/>
    <w:rsid w:val="00761698"/>
    <w:rsid w:val="00762980"/>
    <w:rsid w:val="00763358"/>
    <w:rsid w:val="00773245"/>
    <w:rsid w:val="007742B3"/>
    <w:rsid w:val="0077450E"/>
    <w:rsid w:val="00774981"/>
    <w:rsid w:val="0077579B"/>
    <w:rsid w:val="0077591F"/>
    <w:rsid w:val="0077625F"/>
    <w:rsid w:val="00780FC9"/>
    <w:rsid w:val="0078222E"/>
    <w:rsid w:val="00783D15"/>
    <w:rsid w:val="00786BD6"/>
    <w:rsid w:val="007918E0"/>
    <w:rsid w:val="007921DC"/>
    <w:rsid w:val="00792463"/>
    <w:rsid w:val="00793E34"/>
    <w:rsid w:val="007A2AB1"/>
    <w:rsid w:val="007A38F9"/>
    <w:rsid w:val="007A3A9B"/>
    <w:rsid w:val="007A5479"/>
    <w:rsid w:val="007A7E27"/>
    <w:rsid w:val="007B04BF"/>
    <w:rsid w:val="007B2190"/>
    <w:rsid w:val="007B3C9E"/>
    <w:rsid w:val="007B508E"/>
    <w:rsid w:val="007B548C"/>
    <w:rsid w:val="007B77CF"/>
    <w:rsid w:val="007C06BC"/>
    <w:rsid w:val="007C0B63"/>
    <w:rsid w:val="007C1A23"/>
    <w:rsid w:val="007C2520"/>
    <w:rsid w:val="007C2EAA"/>
    <w:rsid w:val="007C4F43"/>
    <w:rsid w:val="007C5235"/>
    <w:rsid w:val="007D0580"/>
    <w:rsid w:val="007D0E80"/>
    <w:rsid w:val="007D366F"/>
    <w:rsid w:val="007D4A60"/>
    <w:rsid w:val="007D53C8"/>
    <w:rsid w:val="007E0545"/>
    <w:rsid w:val="007E4B8C"/>
    <w:rsid w:val="007E4DB9"/>
    <w:rsid w:val="007E5E21"/>
    <w:rsid w:val="007E64AD"/>
    <w:rsid w:val="007F111F"/>
    <w:rsid w:val="007F29CC"/>
    <w:rsid w:val="007F2DA9"/>
    <w:rsid w:val="007F37F8"/>
    <w:rsid w:val="0080243D"/>
    <w:rsid w:val="00806D85"/>
    <w:rsid w:val="00812C86"/>
    <w:rsid w:val="00813A2F"/>
    <w:rsid w:val="00816849"/>
    <w:rsid w:val="00817490"/>
    <w:rsid w:val="00823F29"/>
    <w:rsid w:val="008264A0"/>
    <w:rsid w:val="008265FF"/>
    <w:rsid w:val="00830A04"/>
    <w:rsid w:val="00832361"/>
    <w:rsid w:val="008335AE"/>
    <w:rsid w:val="008368DB"/>
    <w:rsid w:val="008369B7"/>
    <w:rsid w:val="0084264B"/>
    <w:rsid w:val="00845539"/>
    <w:rsid w:val="00852D7B"/>
    <w:rsid w:val="00852E88"/>
    <w:rsid w:val="00855B5F"/>
    <w:rsid w:val="0085640A"/>
    <w:rsid w:val="00857DA4"/>
    <w:rsid w:val="00861479"/>
    <w:rsid w:val="008614A3"/>
    <w:rsid w:val="00861781"/>
    <w:rsid w:val="008647B0"/>
    <w:rsid w:val="00866629"/>
    <w:rsid w:val="0087056C"/>
    <w:rsid w:val="00870589"/>
    <w:rsid w:val="00872D89"/>
    <w:rsid w:val="00874CA1"/>
    <w:rsid w:val="00876D27"/>
    <w:rsid w:val="00894D5F"/>
    <w:rsid w:val="00895CD0"/>
    <w:rsid w:val="00896971"/>
    <w:rsid w:val="00896C88"/>
    <w:rsid w:val="008978F0"/>
    <w:rsid w:val="00897F23"/>
    <w:rsid w:val="008A53BE"/>
    <w:rsid w:val="008B0011"/>
    <w:rsid w:val="008B120E"/>
    <w:rsid w:val="008C20B2"/>
    <w:rsid w:val="008C5E4C"/>
    <w:rsid w:val="008C64F1"/>
    <w:rsid w:val="008C756E"/>
    <w:rsid w:val="008D029F"/>
    <w:rsid w:val="008D61DC"/>
    <w:rsid w:val="008D76D3"/>
    <w:rsid w:val="008E0DE3"/>
    <w:rsid w:val="008E0DE5"/>
    <w:rsid w:val="008E348A"/>
    <w:rsid w:val="008E3706"/>
    <w:rsid w:val="008E4ECA"/>
    <w:rsid w:val="008E73AE"/>
    <w:rsid w:val="008E7C6C"/>
    <w:rsid w:val="008F2667"/>
    <w:rsid w:val="008F3921"/>
    <w:rsid w:val="00904B0C"/>
    <w:rsid w:val="00905C82"/>
    <w:rsid w:val="00906563"/>
    <w:rsid w:val="00906A20"/>
    <w:rsid w:val="0090785C"/>
    <w:rsid w:val="00914AC6"/>
    <w:rsid w:val="009175A6"/>
    <w:rsid w:val="00917CA1"/>
    <w:rsid w:val="009209CC"/>
    <w:rsid w:val="00921167"/>
    <w:rsid w:val="00925049"/>
    <w:rsid w:val="0092609C"/>
    <w:rsid w:val="00927C3C"/>
    <w:rsid w:val="00932C0A"/>
    <w:rsid w:val="00934595"/>
    <w:rsid w:val="009357E9"/>
    <w:rsid w:val="00936122"/>
    <w:rsid w:val="00936CBE"/>
    <w:rsid w:val="0094046F"/>
    <w:rsid w:val="0094085D"/>
    <w:rsid w:val="009412E8"/>
    <w:rsid w:val="009428FC"/>
    <w:rsid w:val="00945412"/>
    <w:rsid w:val="0094782B"/>
    <w:rsid w:val="00947F3F"/>
    <w:rsid w:val="00950306"/>
    <w:rsid w:val="0095292D"/>
    <w:rsid w:val="009533E7"/>
    <w:rsid w:val="009540DF"/>
    <w:rsid w:val="00961FFD"/>
    <w:rsid w:val="0096326B"/>
    <w:rsid w:val="0096463C"/>
    <w:rsid w:val="009705C7"/>
    <w:rsid w:val="009738CB"/>
    <w:rsid w:val="009758B2"/>
    <w:rsid w:val="00976E22"/>
    <w:rsid w:val="00977017"/>
    <w:rsid w:val="00977B91"/>
    <w:rsid w:val="00980670"/>
    <w:rsid w:val="00981574"/>
    <w:rsid w:val="00981BFC"/>
    <w:rsid w:val="0098258B"/>
    <w:rsid w:val="00990875"/>
    <w:rsid w:val="00991858"/>
    <w:rsid w:val="00996F34"/>
    <w:rsid w:val="00997AFF"/>
    <w:rsid w:val="009A3862"/>
    <w:rsid w:val="009A3957"/>
    <w:rsid w:val="009B0272"/>
    <w:rsid w:val="009B1B15"/>
    <w:rsid w:val="009B22D7"/>
    <w:rsid w:val="009B5080"/>
    <w:rsid w:val="009B70CD"/>
    <w:rsid w:val="009C0ED8"/>
    <w:rsid w:val="009C1DF5"/>
    <w:rsid w:val="009C2B31"/>
    <w:rsid w:val="009C2F2F"/>
    <w:rsid w:val="009C4769"/>
    <w:rsid w:val="009C54FB"/>
    <w:rsid w:val="009C6F8C"/>
    <w:rsid w:val="009D02C4"/>
    <w:rsid w:val="009D0CC1"/>
    <w:rsid w:val="009D29D5"/>
    <w:rsid w:val="009D406B"/>
    <w:rsid w:val="009D5B8F"/>
    <w:rsid w:val="009E0D99"/>
    <w:rsid w:val="009E24CA"/>
    <w:rsid w:val="009E4CA3"/>
    <w:rsid w:val="009E5C08"/>
    <w:rsid w:val="009E5F87"/>
    <w:rsid w:val="009F21B9"/>
    <w:rsid w:val="009F3FF4"/>
    <w:rsid w:val="009F62FC"/>
    <w:rsid w:val="00A046A5"/>
    <w:rsid w:val="00A06E19"/>
    <w:rsid w:val="00A10D53"/>
    <w:rsid w:val="00A117DA"/>
    <w:rsid w:val="00A11BDC"/>
    <w:rsid w:val="00A13EBF"/>
    <w:rsid w:val="00A15DF1"/>
    <w:rsid w:val="00A165AF"/>
    <w:rsid w:val="00A2210E"/>
    <w:rsid w:val="00A2535E"/>
    <w:rsid w:val="00A30C92"/>
    <w:rsid w:val="00A33875"/>
    <w:rsid w:val="00A35AA6"/>
    <w:rsid w:val="00A37731"/>
    <w:rsid w:val="00A379D2"/>
    <w:rsid w:val="00A4484F"/>
    <w:rsid w:val="00A543FC"/>
    <w:rsid w:val="00A609E6"/>
    <w:rsid w:val="00A616FB"/>
    <w:rsid w:val="00A65578"/>
    <w:rsid w:val="00A65FBE"/>
    <w:rsid w:val="00A76B2B"/>
    <w:rsid w:val="00A779CA"/>
    <w:rsid w:val="00A77F5C"/>
    <w:rsid w:val="00A8038A"/>
    <w:rsid w:val="00A80EE9"/>
    <w:rsid w:val="00A834F8"/>
    <w:rsid w:val="00A850C9"/>
    <w:rsid w:val="00A85AD7"/>
    <w:rsid w:val="00A87E38"/>
    <w:rsid w:val="00A91E42"/>
    <w:rsid w:val="00A96858"/>
    <w:rsid w:val="00AA0EA4"/>
    <w:rsid w:val="00AA2471"/>
    <w:rsid w:val="00AA46A0"/>
    <w:rsid w:val="00AA4A0A"/>
    <w:rsid w:val="00AB1F16"/>
    <w:rsid w:val="00AB5C21"/>
    <w:rsid w:val="00AB74E2"/>
    <w:rsid w:val="00AB7A2C"/>
    <w:rsid w:val="00AC2034"/>
    <w:rsid w:val="00AC6563"/>
    <w:rsid w:val="00AC6627"/>
    <w:rsid w:val="00AD1FF5"/>
    <w:rsid w:val="00AD2FD9"/>
    <w:rsid w:val="00AD37F4"/>
    <w:rsid w:val="00AE0AC0"/>
    <w:rsid w:val="00AE4D6E"/>
    <w:rsid w:val="00AE7B04"/>
    <w:rsid w:val="00B0073A"/>
    <w:rsid w:val="00B01D4E"/>
    <w:rsid w:val="00B03CE4"/>
    <w:rsid w:val="00B0406F"/>
    <w:rsid w:val="00B04F42"/>
    <w:rsid w:val="00B055A7"/>
    <w:rsid w:val="00B057CB"/>
    <w:rsid w:val="00B06B7C"/>
    <w:rsid w:val="00B10E80"/>
    <w:rsid w:val="00B15366"/>
    <w:rsid w:val="00B166E1"/>
    <w:rsid w:val="00B178F0"/>
    <w:rsid w:val="00B2468B"/>
    <w:rsid w:val="00B30B90"/>
    <w:rsid w:val="00B342FB"/>
    <w:rsid w:val="00B408D4"/>
    <w:rsid w:val="00B41829"/>
    <w:rsid w:val="00B50C59"/>
    <w:rsid w:val="00B52AF0"/>
    <w:rsid w:val="00B53B01"/>
    <w:rsid w:val="00B53EF7"/>
    <w:rsid w:val="00B55D40"/>
    <w:rsid w:val="00B5686E"/>
    <w:rsid w:val="00B61DA8"/>
    <w:rsid w:val="00B62F0A"/>
    <w:rsid w:val="00B640C9"/>
    <w:rsid w:val="00B65BD9"/>
    <w:rsid w:val="00B721B4"/>
    <w:rsid w:val="00B72BD3"/>
    <w:rsid w:val="00B75306"/>
    <w:rsid w:val="00B828E4"/>
    <w:rsid w:val="00B836EC"/>
    <w:rsid w:val="00B93BA7"/>
    <w:rsid w:val="00B96594"/>
    <w:rsid w:val="00BA4209"/>
    <w:rsid w:val="00BB48B6"/>
    <w:rsid w:val="00BB4934"/>
    <w:rsid w:val="00BB551E"/>
    <w:rsid w:val="00BD2827"/>
    <w:rsid w:val="00BE0F01"/>
    <w:rsid w:val="00BE4A1E"/>
    <w:rsid w:val="00BE515A"/>
    <w:rsid w:val="00BE6A4F"/>
    <w:rsid w:val="00BE6B11"/>
    <w:rsid w:val="00BE7358"/>
    <w:rsid w:val="00BF52B1"/>
    <w:rsid w:val="00BF5EB2"/>
    <w:rsid w:val="00C06DD5"/>
    <w:rsid w:val="00C1154D"/>
    <w:rsid w:val="00C11F0B"/>
    <w:rsid w:val="00C157E0"/>
    <w:rsid w:val="00C211D0"/>
    <w:rsid w:val="00C24157"/>
    <w:rsid w:val="00C270C7"/>
    <w:rsid w:val="00C27762"/>
    <w:rsid w:val="00C33F6F"/>
    <w:rsid w:val="00C33FA2"/>
    <w:rsid w:val="00C357D5"/>
    <w:rsid w:val="00C41CF6"/>
    <w:rsid w:val="00C42ABD"/>
    <w:rsid w:val="00C43582"/>
    <w:rsid w:val="00C50DA6"/>
    <w:rsid w:val="00C513EC"/>
    <w:rsid w:val="00C62678"/>
    <w:rsid w:val="00C64D56"/>
    <w:rsid w:val="00C66887"/>
    <w:rsid w:val="00C7342B"/>
    <w:rsid w:val="00C74846"/>
    <w:rsid w:val="00C75876"/>
    <w:rsid w:val="00C76790"/>
    <w:rsid w:val="00C77CB6"/>
    <w:rsid w:val="00C81A7A"/>
    <w:rsid w:val="00C8646D"/>
    <w:rsid w:val="00C910FB"/>
    <w:rsid w:val="00C91E77"/>
    <w:rsid w:val="00C92027"/>
    <w:rsid w:val="00C9293B"/>
    <w:rsid w:val="00C93CCF"/>
    <w:rsid w:val="00C94026"/>
    <w:rsid w:val="00CA0B6E"/>
    <w:rsid w:val="00CA1203"/>
    <w:rsid w:val="00CB1C1E"/>
    <w:rsid w:val="00CB2379"/>
    <w:rsid w:val="00CB2C48"/>
    <w:rsid w:val="00CB7A5C"/>
    <w:rsid w:val="00CC39EC"/>
    <w:rsid w:val="00CC6526"/>
    <w:rsid w:val="00CC7228"/>
    <w:rsid w:val="00CD2B2E"/>
    <w:rsid w:val="00CD6DCB"/>
    <w:rsid w:val="00CE2A0E"/>
    <w:rsid w:val="00CE5F07"/>
    <w:rsid w:val="00CF0C15"/>
    <w:rsid w:val="00D01911"/>
    <w:rsid w:val="00D03B8F"/>
    <w:rsid w:val="00D04C6D"/>
    <w:rsid w:val="00D07095"/>
    <w:rsid w:val="00D12D05"/>
    <w:rsid w:val="00D14BF4"/>
    <w:rsid w:val="00D154B7"/>
    <w:rsid w:val="00D2667C"/>
    <w:rsid w:val="00D27621"/>
    <w:rsid w:val="00D31899"/>
    <w:rsid w:val="00D3471E"/>
    <w:rsid w:val="00D442EF"/>
    <w:rsid w:val="00D53DA2"/>
    <w:rsid w:val="00D53E69"/>
    <w:rsid w:val="00D5603F"/>
    <w:rsid w:val="00D563B4"/>
    <w:rsid w:val="00D56A52"/>
    <w:rsid w:val="00D57208"/>
    <w:rsid w:val="00D627C5"/>
    <w:rsid w:val="00D67CB6"/>
    <w:rsid w:val="00D708C6"/>
    <w:rsid w:val="00D7271E"/>
    <w:rsid w:val="00D72C2B"/>
    <w:rsid w:val="00D72DB5"/>
    <w:rsid w:val="00D75443"/>
    <w:rsid w:val="00D763F5"/>
    <w:rsid w:val="00D77126"/>
    <w:rsid w:val="00D96634"/>
    <w:rsid w:val="00DA11FB"/>
    <w:rsid w:val="00DA3814"/>
    <w:rsid w:val="00DA460B"/>
    <w:rsid w:val="00DA4D56"/>
    <w:rsid w:val="00DA5281"/>
    <w:rsid w:val="00DA5A38"/>
    <w:rsid w:val="00DA7A95"/>
    <w:rsid w:val="00DA7DD6"/>
    <w:rsid w:val="00DB150B"/>
    <w:rsid w:val="00DB69F8"/>
    <w:rsid w:val="00DB7083"/>
    <w:rsid w:val="00DB74D9"/>
    <w:rsid w:val="00DB7F01"/>
    <w:rsid w:val="00DC0A58"/>
    <w:rsid w:val="00DC48D1"/>
    <w:rsid w:val="00DC6781"/>
    <w:rsid w:val="00DD13EE"/>
    <w:rsid w:val="00DD3D11"/>
    <w:rsid w:val="00DD434D"/>
    <w:rsid w:val="00DD5458"/>
    <w:rsid w:val="00DD701F"/>
    <w:rsid w:val="00DE1838"/>
    <w:rsid w:val="00DE32CB"/>
    <w:rsid w:val="00DF2E14"/>
    <w:rsid w:val="00DF3DF2"/>
    <w:rsid w:val="00DF55A1"/>
    <w:rsid w:val="00DF60F3"/>
    <w:rsid w:val="00E0495E"/>
    <w:rsid w:val="00E050F6"/>
    <w:rsid w:val="00E10DBC"/>
    <w:rsid w:val="00E127CC"/>
    <w:rsid w:val="00E13060"/>
    <w:rsid w:val="00E15D98"/>
    <w:rsid w:val="00E16579"/>
    <w:rsid w:val="00E206A5"/>
    <w:rsid w:val="00E23739"/>
    <w:rsid w:val="00E2420E"/>
    <w:rsid w:val="00E244CF"/>
    <w:rsid w:val="00E26BCE"/>
    <w:rsid w:val="00E26E78"/>
    <w:rsid w:val="00E300C7"/>
    <w:rsid w:val="00E30DF3"/>
    <w:rsid w:val="00E34437"/>
    <w:rsid w:val="00E344E9"/>
    <w:rsid w:val="00E37FEE"/>
    <w:rsid w:val="00E43CAC"/>
    <w:rsid w:val="00E44EA3"/>
    <w:rsid w:val="00E47CF5"/>
    <w:rsid w:val="00E547B8"/>
    <w:rsid w:val="00E56013"/>
    <w:rsid w:val="00E5604E"/>
    <w:rsid w:val="00E60340"/>
    <w:rsid w:val="00E6140F"/>
    <w:rsid w:val="00E62D31"/>
    <w:rsid w:val="00E62F06"/>
    <w:rsid w:val="00E651A2"/>
    <w:rsid w:val="00E725E4"/>
    <w:rsid w:val="00E7272F"/>
    <w:rsid w:val="00E74ADE"/>
    <w:rsid w:val="00E761DA"/>
    <w:rsid w:val="00E80D8A"/>
    <w:rsid w:val="00E84F39"/>
    <w:rsid w:val="00E853B4"/>
    <w:rsid w:val="00E86FB5"/>
    <w:rsid w:val="00E91526"/>
    <w:rsid w:val="00E93087"/>
    <w:rsid w:val="00E963CA"/>
    <w:rsid w:val="00E96E96"/>
    <w:rsid w:val="00EA2D2A"/>
    <w:rsid w:val="00EA5576"/>
    <w:rsid w:val="00EA5CE4"/>
    <w:rsid w:val="00EA5D0D"/>
    <w:rsid w:val="00EB017D"/>
    <w:rsid w:val="00EB3155"/>
    <w:rsid w:val="00EB3431"/>
    <w:rsid w:val="00EB50F7"/>
    <w:rsid w:val="00EC3941"/>
    <w:rsid w:val="00EC7716"/>
    <w:rsid w:val="00ED1465"/>
    <w:rsid w:val="00ED21B2"/>
    <w:rsid w:val="00ED53D1"/>
    <w:rsid w:val="00ED7EE7"/>
    <w:rsid w:val="00EE0BBB"/>
    <w:rsid w:val="00EE48F4"/>
    <w:rsid w:val="00EF0B91"/>
    <w:rsid w:val="00EF20C5"/>
    <w:rsid w:val="00F020AC"/>
    <w:rsid w:val="00F0268F"/>
    <w:rsid w:val="00F02B65"/>
    <w:rsid w:val="00F05124"/>
    <w:rsid w:val="00F133DE"/>
    <w:rsid w:val="00F1436C"/>
    <w:rsid w:val="00F15302"/>
    <w:rsid w:val="00F1575C"/>
    <w:rsid w:val="00F16973"/>
    <w:rsid w:val="00F20E99"/>
    <w:rsid w:val="00F20F21"/>
    <w:rsid w:val="00F23B77"/>
    <w:rsid w:val="00F243C7"/>
    <w:rsid w:val="00F37A41"/>
    <w:rsid w:val="00F37F69"/>
    <w:rsid w:val="00F41A1C"/>
    <w:rsid w:val="00F44C2E"/>
    <w:rsid w:val="00F47C34"/>
    <w:rsid w:val="00F500E5"/>
    <w:rsid w:val="00F504F8"/>
    <w:rsid w:val="00F50CE1"/>
    <w:rsid w:val="00F60CA6"/>
    <w:rsid w:val="00F62DD6"/>
    <w:rsid w:val="00F630A2"/>
    <w:rsid w:val="00F636C1"/>
    <w:rsid w:val="00F64E3A"/>
    <w:rsid w:val="00F65AC8"/>
    <w:rsid w:val="00F65CDB"/>
    <w:rsid w:val="00F66807"/>
    <w:rsid w:val="00F672A0"/>
    <w:rsid w:val="00F72599"/>
    <w:rsid w:val="00F80704"/>
    <w:rsid w:val="00F822E8"/>
    <w:rsid w:val="00F82CBE"/>
    <w:rsid w:val="00F85024"/>
    <w:rsid w:val="00F85BB4"/>
    <w:rsid w:val="00F901E1"/>
    <w:rsid w:val="00F94F19"/>
    <w:rsid w:val="00F950CA"/>
    <w:rsid w:val="00FA34CE"/>
    <w:rsid w:val="00FA35E7"/>
    <w:rsid w:val="00FA3F1B"/>
    <w:rsid w:val="00FA4F7D"/>
    <w:rsid w:val="00FB465C"/>
    <w:rsid w:val="00FB575E"/>
    <w:rsid w:val="00FB6479"/>
    <w:rsid w:val="00FC05CA"/>
    <w:rsid w:val="00FC46ED"/>
    <w:rsid w:val="00FC5999"/>
    <w:rsid w:val="00FC60B6"/>
    <w:rsid w:val="00FC6206"/>
    <w:rsid w:val="00FC64DE"/>
    <w:rsid w:val="00FC7A51"/>
    <w:rsid w:val="00FD402E"/>
    <w:rsid w:val="00FD68E4"/>
    <w:rsid w:val="00FD6F93"/>
    <w:rsid w:val="00FD7372"/>
    <w:rsid w:val="00FE21D5"/>
    <w:rsid w:val="00FE23F2"/>
    <w:rsid w:val="00FE2B49"/>
    <w:rsid w:val="00FE2CF6"/>
    <w:rsid w:val="00FF11CE"/>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1169">
      <w:bodyDiv w:val="1"/>
      <w:marLeft w:val="0"/>
      <w:marRight w:val="0"/>
      <w:marTop w:val="0"/>
      <w:marBottom w:val="0"/>
      <w:divBdr>
        <w:top w:val="none" w:sz="0" w:space="0" w:color="auto"/>
        <w:left w:val="none" w:sz="0" w:space="0" w:color="auto"/>
        <w:bottom w:val="none" w:sz="0" w:space="0" w:color="auto"/>
        <w:right w:val="none" w:sz="0" w:space="0" w:color="auto"/>
      </w:divBdr>
    </w:div>
    <w:div w:id="417026257">
      <w:bodyDiv w:val="1"/>
      <w:marLeft w:val="0"/>
      <w:marRight w:val="0"/>
      <w:marTop w:val="0"/>
      <w:marBottom w:val="0"/>
      <w:divBdr>
        <w:top w:val="none" w:sz="0" w:space="0" w:color="auto"/>
        <w:left w:val="none" w:sz="0" w:space="0" w:color="auto"/>
        <w:bottom w:val="none" w:sz="0" w:space="0" w:color="auto"/>
        <w:right w:val="none" w:sz="0" w:space="0" w:color="auto"/>
      </w:divBdr>
    </w:div>
    <w:div w:id="596863594">
      <w:bodyDiv w:val="1"/>
      <w:marLeft w:val="0"/>
      <w:marRight w:val="0"/>
      <w:marTop w:val="0"/>
      <w:marBottom w:val="0"/>
      <w:divBdr>
        <w:top w:val="none" w:sz="0" w:space="0" w:color="auto"/>
        <w:left w:val="none" w:sz="0" w:space="0" w:color="auto"/>
        <w:bottom w:val="none" w:sz="0" w:space="0" w:color="auto"/>
        <w:right w:val="none" w:sz="0" w:space="0" w:color="auto"/>
      </w:divBdr>
    </w:div>
    <w:div w:id="743530563">
      <w:bodyDiv w:val="1"/>
      <w:marLeft w:val="0"/>
      <w:marRight w:val="0"/>
      <w:marTop w:val="0"/>
      <w:marBottom w:val="0"/>
      <w:divBdr>
        <w:top w:val="none" w:sz="0" w:space="0" w:color="auto"/>
        <w:left w:val="none" w:sz="0" w:space="0" w:color="auto"/>
        <w:bottom w:val="none" w:sz="0" w:space="0" w:color="auto"/>
        <w:right w:val="none" w:sz="0" w:space="0" w:color="auto"/>
      </w:divBdr>
    </w:div>
    <w:div w:id="745033209">
      <w:bodyDiv w:val="1"/>
      <w:marLeft w:val="0"/>
      <w:marRight w:val="0"/>
      <w:marTop w:val="0"/>
      <w:marBottom w:val="0"/>
      <w:divBdr>
        <w:top w:val="none" w:sz="0" w:space="0" w:color="auto"/>
        <w:left w:val="none" w:sz="0" w:space="0" w:color="auto"/>
        <w:bottom w:val="none" w:sz="0" w:space="0" w:color="auto"/>
        <w:right w:val="none" w:sz="0" w:space="0" w:color="auto"/>
      </w:divBdr>
    </w:div>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858539">
      <w:bodyDiv w:val="1"/>
      <w:marLeft w:val="0"/>
      <w:marRight w:val="0"/>
      <w:marTop w:val="0"/>
      <w:marBottom w:val="0"/>
      <w:divBdr>
        <w:top w:val="none" w:sz="0" w:space="0" w:color="auto"/>
        <w:left w:val="none" w:sz="0" w:space="0" w:color="auto"/>
        <w:bottom w:val="none" w:sz="0" w:space="0" w:color="auto"/>
        <w:right w:val="none" w:sz="0" w:space="0" w:color="auto"/>
      </w:divBdr>
    </w:div>
    <w:div w:id="1035426905">
      <w:bodyDiv w:val="1"/>
      <w:marLeft w:val="0"/>
      <w:marRight w:val="0"/>
      <w:marTop w:val="0"/>
      <w:marBottom w:val="0"/>
      <w:divBdr>
        <w:top w:val="none" w:sz="0" w:space="0" w:color="auto"/>
        <w:left w:val="none" w:sz="0" w:space="0" w:color="auto"/>
        <w:bottom w:val="none" w:sz="0" w:space="0" w:color="auto"/>
        <w:right w:val="none" w:sz="0" w:space="0" w:color="auto"/>
      </w:divBdr>
    </w:div>
    <w:div w:id="1208564991">
      <w:bodyDiv w:val="1"/>
      <w:marLeft w:val="0"/>
      <w:marRight w:val="0"/>
      <w:marTop w:val="0"/>
      <w:marBottom w:val="0"/>
      <w:divBdr>
        <w:top w:val="none" w:sz="0" w:space="0" w:color="auto"/>
        <w:left w:val="none" w:sz="0" w:space="0" w:color="auto"/>
        <w:bottom w:val="none" w:sz="0" w:space="0" w:color="auto"/>
        <w:right w:val="none" w:sz="0" w:space="0" w:color="auto"/>
      </w:divBdr>
    </w:div>
    <w:div w:id="1755589752">
      <w:bodyDiv w:val="1"/>
      <w:marLeft w:val="0"/>
      <w:marRight w:val="0"/>
      <w:marTop w:val="0"/>
      <w:marBottom w:val="0"/>
      <w:divBdr>
        <w:top w:val="none" w:sz="0" w:space="0" w:color="auto"/>
        <w:left w:val="none" w:sz="0" w:space="0" w:color="auto"/>
        <w:bottom w:val="none" w:sz="0" w:space="0" w:color="auto"/>
        <w:right w:val="none" w:sz="0" w:space="0" w:color="auto"/>
      </w:divBdr>
    </w:div>
    <w:div w:id="21466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B775-0A3A-144B-976A-60A64342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1528</Words>
  <Characters>8714</Characters>
  <Application>Microsoft Macintosh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20140306 - Teddy's Little Treasures (STR0008) - Decision Notice</vt:lpstr>
    </vt:vector>
  </TitlesOfParts>
  <Manager>Megan.Alston@acecqa.gov.au</Manager>
  <Company>ACECQA</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20140306 - Teddy's Little Treasures (STR0008) - Decision Notice</dc:title>
  <dc:subject>Decision notice</dc:subject>
  <dc:creator>Neha.Grover@acecqa.gov.au;Phil.Dixon@acecqa.gov.au</dc:creator>
  <cp:keywords>Second tier review; decision notice</cp:keywords>
  <cp:lastModifiedBy>Joanna Jonson</cp:lastModifiedBy>
  <cp:revision>2</cp:revision>
  <cp:lastPrinted>2013-08-06T00:43:00Z</cp:lastPrinted>
  <dcterms:created xsi:type="dcterms:W3CDTF">2014-09-23T04:48:00Z</dcterms:created>
  <dcterms:modified xsi:type="dcterms:W3CDTF">2014-09-23T04:48:00Z</dcterms:modified>
  <cp:category>Second tier review</cp:category>
  <cp:contentStatus>Draft</cp:contentStatus>
</cp:coreProperties>
</file>