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11" w:rsidRPr="00A97F11" w:rsidRDefault="00203E6E" w:rsidP="00A97F11">
      <w:pPr>
        <w:pStyle w:val="Subtitle"/>
        <w:tabs>
          <w:tab w:val="left" w:pos="720"/>
          <w:tab w:val="left" w:pos="1440"/>
          <w:tab w:val="left" w:pos="2160"/>
          <w:tab w:val="left" w:pos="2880"/>
          <w:tab w:val="left" w:pos="3600"/>
          <w:tab w:val="left" w:pos="4320"/>
          <w:tab w:val="left" w:pos="4767"/>
        </w:tabs>
        <w:spacing w:after="0" w:line="240" w:lineRule="auto"/>
        <w:rPr>
          <w:b/>
          <w:i w:val="0"/>
          <w:color w:val="auto"/>
        </w:rPr>
      </w:pPr>
      <w:r w:rsidRPr="00A97F11">
        <w:rPr>
          <w:b/>
          <w:i w:val="0"/>
          <w:noProof/>
          <w:color w:val="auto"/>
          <w:spacing w:val="0"/>
          <w:sz w:val="32"/>
          <w:szCs w:val="32"/>
          <w14:cntxtAlts/>
        </w:rPr>
        <mc:AlternateContent>
          <mc:Choice Requires="wps">
            <w:drawing>
              <wp:anchor distT="0" distB="0" distL="114300" distR="114300" simplePos="0" relativeHeight="251658240" behindDoc="0" locked="0" layoutInCell="1" allowOverlap="1" wp14:anchorId="64266360" wp14:editId="2FBF550F">
                <wp:simplePos x="0" y="0"/>
                <wp:positionH relativeFrom="column">
                  <wp:posOffset>4304030</wp:posOffset>
                </wp:positionH>
                <wp:positionV relativeFrom="paragraph">
                  <wp:posOffset>-1082040</wp:posOffset>
                </wp:positionV>
                <wp:extent cx="2403475" cy="7715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771525"/>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164C" w:rsidRPr="00384A60" w:rsidRDefault="00BF164C" w:rsidP="00762980">
                            <w:pPr>
                              <w:rPr>
                                <w:rFonts w:cs="Arial"/>
                                <w:b/>
                                <w:color w:val="FFFFFF" w:themeColor="background1"/>
                                <w:sz w:val="28"/>
                                <w:szCs w:val="28"/>
                              </w:rPr>
                            </w:pPr>
                            <w:r w:rsidRPr="00384A60">
                              <w:rPr>
                                <w:rFonts w:cs="Arial"/>
                                <w:b/>
                                <w:color w:val="FFFFFF" w:themeColor="background1"/>
                                <w:sz w:val="28"/>
                                <w:szCs w:val="28"/>
                              </w:rPr>
                              <w:t>Ratings Review Panel</w:t>
                            </w:r>
                          </w:p>
                          <w:p w:rsidR="00BF164C" w:rsidRPr="00384A60" w:rsidRDefault="00BF164C"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8.9pt;margin-top:-85.2pt;width:18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" fillcolor="#49a942" stroked="f" strokeweight="2pt">
                <v:path arrowok="t"/>
                <v:textbox>
                  <w:txbxContent>
                    <w:p w:rsidR="00BD53DA" w:rsidRPr="00384A60" w:rsidRDefault="00BD53DA" w:rsidP="00762980">
                      <w:pPr>
                        <w:rPr>
                          <w:rFonts w:cs="Arial"/>
                          <w:b/>
                          <w:color w:val="FFFFFF" w:themeColor="background1"/>
                          <w:sz w:val="28"/>
                          <w:szCs w:val="28"/>
                        </w:rPr>
                      </w:pPr>
                      <w:r w:rsidRPr="00384A60">
                        <w:rPr>
                          <w:rFonts w:cs="Arial"/>
                          <w:b/>
                          <w:color w:val="FFFFFF" w:themeColor="background1"/>
                          <w:sz w:val="28"/>
                          <w:szCs w:val="28"/>
                        </w:rPr>
                        <w:t>Ratings Review Panel</w:t>
                      </w:r>
                    </w:p>
                    <w:p w:rsidR="00BD53DA" w:rsidRPr="00384A60" w:rsidRDefault="00BD53DA"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v:textbox>
              </v:rect>
            </w:pict>
          </mc:Fallback>
        </mc:AlternateContent>
      </w:r>
      <w:r w:rsidR="00A97F11" w:rsidRPr="00A97F11">
        <w:rPr>
          <w:b/>
          <w:i w:val="0"/>
          <w:color w:val="auto"/>
        </w:rPr>
        <w:t xml:space="preserve">‘Approved provider’ and </w:t>
      </w:r>
      <w:r w:rsidR="00A97F11" w:rsidRPr="00A97F11">
        <w:rPr>
          <w:b/>
          <w:i w:val="0"/>
          <w:color w:val="auto"/>
          <w14:cntxtAlts/>
        </w:rPr>
        <w:t xml:space="preserve">NSW Department of Education and Communities, </w:t>
      </w:r>
      <w:r w:rsidR="00A97F11" w:rsidRPr="00A97F11">
        <w:rPr>
          <w:b/>
          <w:i w:val="0"/>
          <w:color w:val="auto"/>
        </w:rPr>
        <w:t>[2015] ACECQARRPstr001</w:t>
      </w:r>
      <w:r w:rsidR="00A97F11">
        <w:rPr>
          <w:b/>
          <w:i w:val="0"/>
          <w:color w:val="auto"/>
        </w:rPr>
        <w:t>9</w:t>
      </w:r>
      <w:r w:rsidR="00A97F11" w:rsidRPr="00A97F11">
        <w:rPr>
          <w:b/>
          <w:i w:val="0"/>
          <w:color w:val="auto"/>
        </w:rPr>
        <w:t xml:space="preserve"> (</w:t>
      </w:r>
      <w:r w:rsidR="00A97F11">
        <w:rPr>
          <w:b/>
          <w:i w:val="0"/>
          <w:color w:val="auto"/>
        </w:rPr>
        <w:t>8</w:t>
      </w:r>
      <w:r w:rsidR="00A97F11" w:rsidRPr="00A97F11">
        <w:rPr>
          <w:b/>
          <w:i w:val="0"/>
          <w:color w:val="auto"/>
        </w:rPr>
        <w:t xml:space="preserve"> </w:t>
      </w:r>
      <w:r w:rsidR="00A97F11">
        <w:rPr>
          <w:b/>
          <w:i w:val="0"/>
          <w:color w:val="auto"/>
        </w:rPr>
        <w:t>Dec</w:t>
      </w:r>
      <w:r w:rsidR="00A97F11" w:rsidRPr="00A97F11">
        <w:rPr>
          <w:b/>
          <w:i w:val="0"/>
          <w:color w:val="auto"/>
        </w:rPr>
        <w:t>ember 2015)</w:t>
      </w:r>
    </w:p>
    <w:p w:rsidR="00B057CB" w:rsidRDefault="00B057CB" w:rsidP="00F60580">
      <w:pPr>
        <w:pStyle w:val="Horizontalline"/>
        <w:rPr>
          <w14:cntxtAlts/>
        </w:rPr>
      </w:pPr>
    </w:p>
    <w:p w:rsidR="00EB3155" w:rsidRPr="00703BBD" w:rsidRDefault="00D5603F" w:rsidP="00F60580">
      <w:pPr>
        <w:pStyle w:val="ItemBold"/>
        <w:ind w:left="2880" w:hanging="2846"/>
        <w:rPr>
          <w:szCs w:val="24"/>
          <w14:cntxtAlts/>
        </w:rPr>
      </w:pPr>
      <w:r>
        <w:rPr>
          <w:szCs w:val="24"/>
          <w14:cntxtAlts/>
        </w:rPr>
        <w:t>APPLICANT:</w:t>
      </w:r>
      <w:r>
        <w:rPr>
          <w:szCs w:val="24"/>
          <w14:cntxtAlts/>
        </w:rPr>
        <w:tab/>
      </w:r>
      <w:r w:rsidR="00703BBD">
        <w:rPr>
          <w:szCs w:val="24"/>
          <w14:cntxtAlts/>
        </w:rPr>
        <w:tab/>
      </w:r>
      <w:r w:rsidR="00A97F11">
        <w:rPr>
          <w:szCs w:val="24"/>
          <w14:cntxtAlts/>
        </w:rPr>
        <w:tab/>
      </w:r>
      <w:r w:rsidR="00A97F11">
        <w:rPr>
          <w:b w:val="0"/>
          <w:szCs w:val="24"/>
          <w14:cntxtAlts/>
        </w:rPr>
        <w:t>‘Approved provider’</w:t>
      </w:r>
    </w:p>
    <w:p w:rsidR="00B057CB" w:rsidRDefault="00B057CB" w:rsidP="00F60580">
      <w:pPr>
        <w:spacing w:line="240" w:lineRule="auto"/>
        <w:ind w:left="2835" w:hanging="2835"/>
        <w:rPr>
          <w:sz w:val="24"/>
          <w:szCs w:val="24"/>
          <w14:cntxtAlts/>
        </w:rPr>
      </w:pPr>
      <w:r w:rsidRPr="00F23B77">
        <w:rPr>
          <w:b/>
          <w:sz w:val="24"/>
          <w:szCs w:val="24"/>
          <w14:cntxtAlts/>
        </w:rPr>
        <w:t>REGULATORY AUTHORITY:</w:t>
      </w:r>
      <w:r w:rsidRPr="003411DD">
        <w:rPr>
          <w:sz w:val="24"/>
          <w:szCs w:val="24"/>
          <w14:cntxtAlts/>
        </w:rPr>
        <w:t xml:space="preserve">  </w:t>
      </w:r>
      <w:r w:rsidR="00A97F11">
        <w:rPr>
          <w:sz w:val="24"/>
          <w:szCs w:val="24"/>
          <w14:cntxtAlts/>
        </w:rPr>
        <w:tab/>
      </w:r>
      <w:r w:rsidR="00FC6C29" w:rsidRPr="00FC6C29">
        <w:rPr>
          <w:sz w:val="24"/>
          <w:szCs w:val="24"/>
          <w14:cntxtAlts/>
        </w:rPr>
        <w:t>NSW Department of Education and Communities</w:t>
      </w:r>
    </w:p>
    <w:p w:rsidR="00A97F11" w:rsidRPr="00A97F11" w:rsidRDefault="00A97F11" w:rsidP="00A97F11">
      <w:pPr>
        <w:spacing w:line="240" w:lineRule="auto"/>
        <w:ind w:left="2835" w:hanging="2835"/>
        <w:rPr>
          <w:sz w:val="24"/>
          <w:szCs w:val="24"/>
          <w14:cntxtAlts/>
        </w:rPr>
      </w:pPr>
      <w:r w:rsidRPr="00A97F11">
        <w:rPr>
          <w:b/>
          <w:sz w:val="24"/>
          <w:szCs w:val="24"/>
          <w14:cntxtAlts/>
        </w:rPr>
        <w:t xml:space="preserve">Date of Decision:   </w:t>
      </w:r>
      <w:r w:rsidRPr="00A97F11">
        <w:rPr>
          <w:sz w:val="24"/>
          <w:szCs w:val="24"/>
          <w14:cntxtAlts/>
        </w:rPr>
        <w:t xml:space="preserve">     </w:t>
      </w:r>
      <w:r w:rsidRPr="00A97F11">
        <w:rPr>
          <w:sz w:val="24"/>
          <w:szCs w:val="24"/>
          <w14:cntxtAlts/>
        </w:rPr>
        <w:tab/>
      </w:r>
      <w:r>
        <w:rPr>
          <w:sz w:val="24"/>
          <w:szCs w:val="24"/>
          <w14:cntxtAlts/>
        </w:rPr>
        <w:tab/>
      </w:r>
      <w:r>
        <w:rPr>
          <w:sz w:val="24"/>
          <w:szCs w:val="24"/>
          <w14:cntxtAlts/>
        </w:rPr>
        <w:tab/>
      </w:r>
      <w:r w:rsidRPr="00A97F11">
        <w:rPr>
          <w:sz w:val="24"/>
          <w:szCs w:val="24"/>
          <w14:cntxtAlts/>
        </w:rPr>
        <w:t>8 December 2015</w:t>
      </w:r>
    </w:p>
    <w:p w:rsidR="00A97F11" w:rsidRPr="003411DD" w:rsidRDefault="00A97F11" w:rsidP="00A97F11">
      <w:pPr>
        <w:spacing w:line="240" w:lineRule="auto"/>
        <w:ind w:left="2835" w:hanging="2835"/>
        <w:rPr>
          <w:sz w:val="24"/>
          <w:szCs w:val="24"/>
          <w14:cntxtAlts/>
        </w:rPr>
      </w:pPr>
      <w:r w:rsidRPr="00A97F11">
        <w:rPr>
          <w:b/>
          <w:sz w:val="24"/>
          <w:szCs w:val="24"/>
          <w14:cntxtAlts/>
        </w:rPr>
        <w:t>Application reference:</w:t>
      </w:r>
      <w:r w:rsidRPr="00A97F11">
        <w:rPr>
          <w:b/>
          <w:sz w:val="24"/>
          <w:szCs w:val="24"/>
          <w14:cntxtAlts/>
        </w:rPr>
        <w:tab/>
      </w:r>
      <w:r w:rsidRPr="00A97F11">
        <w:rPr>
          <w:sz w:val="24"/>
          <w:szCs w:val="24"/>
          <w14:cntxtAlts/>
        </w:rPr>
        <w:tab/>
      </w:r>
      <w:r w:rsidRPr="00A97F11">
        <w:rPr>
          <w:sz w:val="24"/>
          <w:szCs w:val="24"/>
          <w14:cntxtAlts/>
        </w:rPr>
        <w:tab/>
        <w:t>STR0019</w:t>
      </w:r>
    </w:p>
    <w:p w:rsidR="00B057CB" w:rsidRPr="003411DD" w:rsidRDefault="00B057CB" w:rsidP="00F60580">
      <w:pPr>
        <w:pStyle w:val="Horizontalline"/>
        <w:rPr>
          <w14:cntxtAlts/>
        </w:rPr>
      </w:pPr>
    </w:p>
    <w:p w:rsidR="00B057CB" w:rsidRPr="00147535" w:rsidRDefault="00B057CB" w:rsidP="00F60580">
      <w:pPr>
        <w:pStyle w:val="BodyText"/>
        <w:ind w:left="1440" w:hanging="1440"/>
        <w:rPr>
          <w:rFonts w:cs="Arial"/>
          <w:sz w:val="28"/>
          <w:szCs w:val="28"/>
          <w14:cntxtAlts/>
        </w:rPr>
      </w:pPr>
      <w:r w:rsidRPr="00147535">
        <w:rPr>
          <w:rStyle w:val="Strong"/>
          <w:rFonts w:cs="Arial"/>
          <w:sz w:val="28"/>
          <w:szCs w:val="28"/>
          <w14:cntxtAlts/>
        </w:rPr>
        <w:t>Decision</w:t>
      </w:r>
      <w:r w:rsidRPr="00147535">
        <w:rPr>
          <w:rFonts w:cs="Arial"/>
          <w:sz w:val="28"/>
          <w:szCs w:val="28"/>
          <w14:cntxtAlts/>
        </w:rPr>
        <w:tab/>
      </w:r>
    </w:p>
    <w:p w:rsidR="006B364A" w:rsidRPr="00703BBD" w:rsidRDefault="003E29D9" w:rsidP="00F60580">
      <w:pPr>
        <w:pStyle w:val="ListParagraph"/>
        <w:spacing w:before="0" w:after="0" w:line="240" w:lineRule="auto"/>
        <w:ind w:left="0"/>
        <w:rPr>
          <w:rFonts w:cs="Arial"/>
          <w:bCs/>
          <w:sz w:val="24"/>
          <w:szCs w:val="24"/>
          <w14:cntxtAlts/>
        </w:rPr>
      </w:pPr>
      <w:r w:rsidRPr="008B0492">
        <w:rPr>
          <w:rFonts w:cs="Arial"/>
          <w:sz w:val="24"/>
          <w:szCs w:val="24"/>
          <w14:cntxtAlts/>
        </w:rPr>
        <w:t>The Ratings Review Panel (the Panel) by consensus decided to</w:t>
      </w:r>
      <w:r w:rsidR="005D0B93" w:rsidRPr="008B0492">
        <w:rPr>
          <w:rFonts w:cs="Arial"/>
          <w:sz w:val="24"/>
          <w:szCs w:val="24"/>
          <w14:cntxtAlts/>
        </w:rPr>
        <w:t xml:space="preserve"> confirm</w:t>
      </w:r>
      <w:r w:rsidRPr="008B0492">
        <w:rPr>
          <w:rFonts w:cs="Arial"/>
          <w:sz w:val="24"/>
          <w:szCs w:val="24"/>
          <w14:cntxtAlts/>
        </w:rPr>
        <w:t xml:space="preserve"> </w:t>
      </w:r>
      <w:r w:rsidR="00703BBD" w:rsidRPr="008B0492">
        <w:rPr>
          <w:rFonts w:cs="Arial"/>
          <w:sz w:val="24"/>
          <w:szCs w:val="24"/>
          <w14:cntxtAlts/>
        </w:rPr>
        <w:t>the rating level</w:t>
      </w:r>
      <w:r w:rsidR="008B0492" w:rsidRPr="008B0492">
        <w:rPr>
          <w:rFonts w:cs="Arial"/>
          <w:sz w:val="24"/>
          <w:szCs w:val="24"/>
          <w14:cntxtAlts/>
        </w:rPr>
        <w:t xml:space="preserve"> for element </w:t>
      </w:r>
      <w:r w:rsidR="00432127" w:rsidRPr="008B0492">
        <w:rPr>
          <w:rFonts w:cs="Arial"/>
          <w:sz w:val="24"/>
          <w:szCs w:val="24"/>
          <w14:cntxtAlts/>
        </w:rPr>
        <w:t>7.2.2 as</w:t>
      </w:r>
      <w:r w:rsidR="008B0492" w:rsidRPr="008B0492">
        <w:rPr>
          <w:rFonts w:cs="Arial"/>
          <w:sz w:val="24"/>
          <w:szCs w:val="24"/>
          <w14:cntxtAlts/>
        </w:rPr>
        <w:t xml:space="preserve"> not met</w:t>
      </w:r>
      <w:r w:rsidR="004E51DA" w:rsidRPr="008B0492">
        <w:rPr>
          <w:rFonts w:cs="Arial"/>
          <w:sz w:val="24"/>
          <w:szCs w:val="24"/>
          <w14:cntxtAlts/>
        </w:rPr>
        <w:t>.</w:t>
      </w:r>
      <w:r w:rsidR="00C93CCF" w:rsidRPr="008B0492">
        <w:rPr>
          <w:rFonts w:cs="Arial"/>
          <w:sz w:val="24"/>
          <w:szCs w:val="24"/>
          <w14:cntxtAlts/>
        </w:rPr>
        <w:t xml:space="preserve"> As a result, t</w:t>
      </w:r>
      <w:r w:rsidR="001D3664" w:rsidRPr="008B0492">
        <w:rPr>
          <w:rFonts w:cs="Arial"/>
          <w:sz w:val="24"/>
          <w:szCs w:val="24"/>
          <w14:cntxtAlts/>
        </w:rPr>
        <w:t xml:space="preserve">he Panel </w:t>
      </w:r>
      <w:r w:rsidR="003A52DA" w:rsidRPr="008B0492">
        <w:rPr>
          <w:rFonts w:cs="Arial"/>
          <w:sz w:val="24"/>
          <w:szCs w:val="24"/>
          <w14:cntxtAlts/>
        </w:rPr>
        <w:t xml:space="preserve">confirmed the rating level for </w:t>
      </w:r>
      <w:r w:rsidR="008B0492" w:rsidRPr="008B0492">
        <w:rPr>
          <w:rFonts w:cs="Arial"/>
          <w:sz w:val="24"/>
          <w:szCs w:val="24"/>
          <w14:cntxtAlts/>
        </w:rPr>
        <w:t>standard 7.2 is Working Towards NQS</w:t>
      </w:r>
      <w:r w:rsidR="003A52DA" w:rsidRPr="008B0492">
        <w:rPr>
          <w:rFonts w:cs="Arial"/>
          <w:sz w:val="24"/>
          <w:szCs w:val="24"/>
          <w14:cntxtAlts/>
        </w:rPr>
        <w:t>. The Panel</w:t>
      </w:r>
      <w:r w:rsidR="001D3664" w:rsidRPr="008B0492">
        <w:rPr>
          <w:rFonts w:cs="Arial"/>
          <w:sz w:val="24"/>
          <w:szCs w:val="24"/>
          <w14:cntxtAlts/>
        </w:rPr>
        <w:t xml:space="preserve"> </w:t>
      </w:r>
      <w:r w:rsidR="008B0492" w:rsidRPr="008B0492">
        <w:rPr>
          <w:rFonts w:cs="Arial"/>
          <w:sz w:val="24"/>
          <w:szCs w:val="24"/>
          <w14:cntxtAlts/>
        </w:rPr>
        <w:t>confirmed the rating level for Quality Area 7 is Working Towards</w:t>
      </w:r>
      <w:r w:rsidR="0077450E" w:rsidRPr="008B0492">
        <w:rPr>
          <w:rStyle w:val="Strong"/>
          <w:rFonts w:cs="Arial"/>
          <w:b w:val="0"/>
          <w:sz w:val="24"/>
          <w:szCs w:val="24"/>
          <w14:cntxtAlts/>
        </w:rPr>
        <w:t xml:space="preserve"> </w:t>
      </w:r>
      <w:r w:rsidR="001D3664" w:rsidRPr="008B0492">
        <w:rPr>
          <w:rStyle w:val="Strong"/>
          <w:rFonts w:cs="Arial"/>
          <w:b w:val="0"/>
          <w:sz w:val="24"/>
          <w:szCs w:val="24"/>
          <w14:cntxtAlts/>
        </w:rPr>
        <w:t>NQS</w:t>
      </w:r>
      <w:r w:rsidR="00703BBD" w:rsidRPr="008B0492">
        <w:rPr>
          <w:rStyle w:val="Strong"/>
          <w:rFonts w:cs="Arial"/>
          <w:b w:val="0"/>
          <w:sz w:val="24"/>
          <w:szCs w:val="24"/>
          <w14:cntxtAlts/>
        </w:rPr>
        <w:t>, and t</w:t>
      </w:r>
      <w:r w:rsidR="006B364A" w:rsidRPr="008B0492">
        <w:rPr>
          <w:rStyle w:val="Strong"/>
          <w:rFonts w:cs="Arial"/>
          <w:b w:val="0"/>
          <w:sz w:val="24"/>
          <w:szCs w:val="24"/>
          <w14:cntxtAlts/>
        </w:rPr>
        <w:t>he service</w:t>
      </w:r>
      <w:r w:rsidR="00703BBD" w:rsidRPr="008B0492">
        <w:rPr>
          <w:rStyle w:val="Strong"/>
          <w:rFonts w:cs="Arial"/>
          <w:b w:val="0"/>
          <w:sz w:val="24"/>
          <w:szCs w:val="24"/>
          <w14:cntxtAlts/>
        </w:rPr>
        <w:t>’s overall rating</w:t>
      </w:r>
      <w:r w:rsidR="00ED78DC" w:rsidRPr="008B0492">
        <w:rPr>
          <w:rStyle w:val="Strong"/>
          <w:rFonts w:cs="Arial"/>
          <w:b w:val="0"/>
          <w:sz w:val="24"/>
          <w:szCs w:val="24"/>
          <w14:cntxtAlts/>
        </w:rPr>
        <w:t xml:space="preserve"> </w:t>
      </w:r>
      <w:r w:rsidR="008B0492" w:rsidRPr="008B0492">
        <w:rPr>
          <w:rStyle w:val="Strong"/>
          <w:rFonts w:cs="Arial"/>
          <w:b w:val="0"/>
          <w:sz w:val="24"/>
          <w:szCs w:val="24"/>
          <w14:cntxtAlts/>
        </w:rPr>
        <w:t>remains</w:t>
      </w:r>
      <w:r w:rsidR="006B364A" w:rsidRPr="008B0492">
        <w:rPr>
          <w:rStyle w:val="Strong"/>
          <w:rFonts w:cs="Arial"/>
          <w:b w:val="0"/>
          <w:sz w:val="24"/>
          <w:szCs w:val="24"/>
          <w14:cntxtAlts/>
        </w:rPr>
        <w:t xml:space="preserve"> </w:t>
      </w:r>
      <w:r w:rsidR="008B0492" w:rsidRPr="008B0492">
        <w:rPr>
          <w:rStyle w:val="Strong"/>
          <w:rFonts w:cs="Arial"/>
          <w:b w:val="0"/>
          <w:sz w:val="24"/>
          <w:szCs w:val="24"/>
          <w14:cntxtAlts/>
        </w:rPr>
        <w:t>Working Towards NQS</w:t>
      </w:r>
      <w:r w:rsidR="006B364A" w:rsidRPr="008B0492">
        <w:rPr>
          <w:rFonts w:cs="Arial"/>
          <w:sz w:val="24"/>
          <w:szCs w:val="24"/>
          <w14:cntxtAlts/>
        </w:rPr>
        <w:t>.</w:t>
      </w:r>
    </w:p>
    <w:p w:rsidR="004C0DC9" w:rsidRPr="003411DD" w:rsidRDefault="0074689B" w:rsidP="00F60580">
      <w:pPr>
        <w:pStyle w:val="ListNumber"/>
        <w:numPr>
          <w:ilvl w:val="0"/>
          <w:numId w:val="0"/>
        </w:numPr>
        <w:pBdr>
          <w:bottom w:val="single" w:sz="4" w:space="2" w:color="auto"/>
        </w:pBdr>
        <w:rPr>
          <w14:cntxtAlts/>
        </w:rPr>
      </w:pPr>
      <w:r>
        <w:rPr>
          <w14:cntxtAlts/>
        </w:rPr>
        <w:t xml:space="preserve"> </w:t>
      </w:r>
    </w:p>
    <w:p w:rsidR="00B057CB" w:rsidRDefault="00B057CB" w:rsidP="00F60580">
      <w:pPr>
        <w:spacing w:line="240" w:lineRule="auto"/>
        <w:rPr>
          <w:rFonts w:cs="Arial"/>
          <w:b/>
          <w:sz w:val="28"/>
          <w:szCs w:val="28"/>
          <w14:cntxtAlts/>
        </w:rPr>
      </w:pPr>
      <w:r w:rsidRPr="00D12D05">
        <w:rPr>
          <w:rFonts w:cs="Arial"/>
          <w:b/>
          <w:sz w:val="28"/>
          <w:szCs w:val="28"/>
          <w14:cntxtAlts/>
        </w:rPr>
        <w:t>Issues under review</w:t>
      </w:r>
    </w:p>
    <w:p w:rsidR="00E609C1" w:rsidRDefault="00ED78DC" w:rsidP="00F60580">
      <w:pPr>
        <w:pStyle w:val="ListParagraph"/>
        <w:numPr>
          <w:ilvl w:val="0"/>
          <w:numId w:val="2"/>
        </w:numPr>
        <w:spacing w:before="240" w:after="0" w:line="240" w:lineRule="auto"/>
        <w:rPr>
          <w:sz w:val="24"/>
          <w:szCs w:val="24"/>
        </w:rPr>
      </w:pPr>
      <w:r w:rsidRPr="006925C0">
        <w:rPr>
          <w:sz w:val="24"/>
          <w:szCs w:val="24"/>
        </w:rPr>
        <w:t xml:space="preserve">The approved provider </w:t>
      </w:r>
      <w:r>
        <w:rPr>
          <w:sz w:val="24"/>
          <w:szCs w:val="24"/>
        </w:rPr>
        <w:t xml:space="preserve">(the provider) sought a review on the grounds that </w:t>
      </w:r>
      <w:r w:rsidRPr="00A15BEF">
        <w:rPr>
          <w:sz w:val="24"/>
          <w:szCs w:val="24"/>
        </w:rPr>
        <w:t>the regulatory authority in making its determination, failed to take into account or give sufficient weight to facts existing at the time of the rating assessm</w:t>
      </w:r>
      <w:r>
        <w:rPr>
          <w:sz w:val="24"/>
          <w:szCs w:val="24"/>
        </w:rPr>
        <w:t xml:space="preserve">ent (section 144(3)(b) </w:t>
      </w:r>
      <w:r w:rsidRPr="00DB5F05">
        <w:rPr>
          <w:rFonts w:cs="Arial"/>
          <w:i/>
          <w:iCs/>
          <w:sz w:val="24"/>
          <w:szCs w:val="24"/>
        </w:rPr>
        <w:t xml:space="preserve">Education and Care Services National Law </w:t>
      </w:r>
      <w:r w:rsidRPr="00DB5F05">
        <w:rPr>
          <w:rFonts w:cs="Arial"/>
          <w:sz w:val="24"/>
          <w:szCs w:val="24"/>
        </w:rPr>
        <w:t>(National Law)</w:t>
      </w:r>
      <w:r w:rsidRPr="00DB5F05">
        <w:rPr>
          <w:sz w:val="24"/>
          <w:szCs w:val="24"/>
        </w:rPr>
        <w:t>).</w:t>
      </w:r>
    </w:p>
    <w:p w:rsidR="00E609C1" w:rsidRDefault="00E609C1" w:rsidP="00F60580">
      <w:pPr>
        <w:pStyle w:val="ListParagraph"/>
        <w:spacing w:before="240" w:after="0" w:line="240" w:lineRule="auto"/>
        <w:ind w:left="680"/>
        <w:rPr>
          <w:sz w:val="24"/>
          <w:szCs w:val="24"/>
        </w:rPr>
      </w:pPr>
    </w:p>
    <w:p w:rsidR="002B0450" w:rsidRPr="002B0450" w:rsidRDefault="00ED78DC" w:rsidP="00FC6C29">
      <w:pPr>
        <w:pStyle w:val="ListParagraph"/>
        <w:numPr>
          <w:ilvl w:val="0"/>
          <w:numId w:val="2"/>
        </w:numPr>
        <w:spacing w:before="240" w:after="0" w:line="240" w:lineRule="auto"/>
        <w:rPr>
          <w:sz w:val="24"/>
          <w:szCs w:val="24"/>
        </w:rPr>
      </w:pPr>
      <w:r w:rsidRPr="00E609C1">
        <w:rPr>
          <w:sz w:val="24"/>
          <w:szCs w:val="24"/>
        </w:rPr>
        <w:t>The</w:t>
      </w:r>
      <w:r w:rsidR="00C6433A" w:rsidRPr="00E609C1">
        <w:rPr>
          <w:sz w:val="24"/>
          <w:szCs w:val="24"/>
        </w:rPr>
        <w:t xml:space="preserve"> </w:t>
      </w:r>
      <w:r w:rsidRPr="00E609C1">
        <w:rPr>
          <w:sz w:val="24"/>
          <w:szCs w:val="24"/>
        </w:rPr>
        <w:t xml:space="preserve">provider sought a </w:t>
      </w:r>
      <w:r w:rsidR="00E609C1" w:rsidRPr="00E609C1">
        <w:rPr>
          <w:sz w:val="24"/>
          <w:szCs w:val="24"/>
        </w:rPr>
        <w:t xml:space="preserve">review </w:t>
      </w:r>
      <w:r w:rsidR="00FC6C29" w:rsidRPr="00FC6C29">
        <w:rPr>
          <w:sz w:val="24"/>
          <w:szCs w:val="24"/>
        </w:rPr>
        <w:t>of element 7.2.2.</w:t>
      </w:r>
    </w:p>
    <w:p w:rsidR="00E609C1" w:rsidRPr="00E609C1" w:rsidRDefault="00E609C1" w:rsidP="00F60580">
      <w:pPr>
        <w:pStyle w:val="ListParagraph"/>
        <w:spacing w:line="240" w:lineRule="auto"/>
        <w:rPr>
          <w:sz w:val="24"/>
          <w:szCs w:val="24"/>
        </w:rPr>
      </w:pPr>
    </w:p>
    <w:p w:rsidR="00271B7B" w:rsidRDefault="00FC6C29" w:rsidP="00FC6C29">
      <w:pPr>
        <w:pStyle w:val="ListParagraph"/>
        <w:numPr>
          <w:ilvl w:val="0"/>
          <w:numId w:val="2"/>
        </w:numPr>
        <w:spacing w:before="240" w:after="0" w:line="240" w:lineRule="auto"/>
        <w:rPr>
          <w:sz w:val="24"/>
          <w:szCs w:val="24"/>
        </w:rPr>
      </w:pPr>
      <w:r w:rsidRPr="00FC6C29">
        <w:rPr>
          <w:sz w:val="24"/>
          <w:szCs w:val="24"/>
        </w:rPr>
        <w:t>After the initial assessment, the service was rated Meeting NQS for Quality Areas 2, 3, 4, 5 and 6, and Working Towards NQS for Quality Areas 1 and 7.</w:t>
      </w:r>
    </w:p>
    <w:p w:rsidR="00271B7B" w:rsidRDefault="00271B7B" w:rsidP="00F60580">
      <w:pPr>
        <w:pStyle w:val="ListParagraph"/>
        <w:spacing w:before="240" w:after="0" w:line="240" w:lineRule="auto"/>
        <w:ind w:left="680"/>
        <w:rPr>
          <w:sz w:val="24"/>
          <w:szCs w:val="24"/>
        </w:rPr>
      </w:pPr>
    </w:p>
    <w:p w:rsidR="00E609C1" w:rsidRPr="00FC6C29" w:rsidRDefault="00FC6C29" w:rsidP="00FC6C29">
      <w:pPr>
        <w:pStyle w:val="ListParagraph"/>
        <w:numPr>
          <w:ilvl w:val="0"/>
          <w:numId w:val="2"/>
        </w:numPr>
        <w:spacing w:before="0" w:after="0" w:line="240" w:lineRule="auto"/>
        <w:rPr>
          <w:sz w:val="24"/>
          <w:szCs w:val="24"/>
        </w:rPr>
      </w:pPr>
      <w:r w:rsidRPr="00FC6C29">
        <w:rPr>
          <w:sz w:val="24"/>
          <w:szCs w:val="24"/>
        </w:rPr>
        <w:t>The provider applied for first tier review of Quality Areas 1 and 7.</w:t>
      </w:r>
    </w:p>
    <w:p w:rsidR="00FC6C29" w:rsidRPr="00FC6C29" w:rsidRDefault="00FC6C29" w:rsidP="00FC6C29">
      <w:pPr>
        <w:spacing w:before="0" w:after="0" w:line="240" w:lineRule="auto"/>
        <w:rPr>
          <w:rFonts w:cs="Arial"/>
          <w:b/>
          <w:sz w:val="24"/>
          <w:szCs w:val="24"/>
          <w14:cntxtAlts/>
        </w:rPr>
      </w:pPr>
    </w:p>
    <w:p w:rsidR="00B057CB" w:rsidRPr="005E4700" w:rsidRDefault="00B057CB" w:rsidP="00F60580">
      <w:pPr>
        <w:spacing w:before="0" w:after="0" w:line="240" w:lineRule="auto"/>
        <w:rPr>
          <w:rFonts w:cs="Arial"/>
          <w:b/>
          <w:sz w:val="24"/>
          <w:szCs w:val="24"/>
          <w14:cntxtAlts/>
        </w:rPr>
      </w:pPr>
      <w:r w:rsidRPr="005E4700">
        <w:rPr>
          <w:rFonts w:cs="Arial"/>
          <w:b/>
          <w:sz w:val="24"/>
          <w:szCs w:val="24"/>
          <w14:cntxtAlts/>
        </w:rPr>
        <w:t>Regulatory authority’s view</w:t>
      </w:r>
    </w:p>
    <w:p w:rsidR="00627933" w:rsidRPr="00C93CCF" w:rsidRDefault="00627933" w:rsidP="00F60580">
      <w:pPr>
        <w:pStyle w:val="ListParagraph"/>
        <w:spacing w:before="0" w:after="0" w:line="240" w:lineRule="auto"/>
        <w:ind w:left="680"/>
        <w:rPr>
          <w:sz w:val="24"/>
          <w:szCs w:val="24"/>
        </w:rPr>
      </w:pPr>
    </w:p>
    <w:p w:rsidR="00E609C1" w:rsidRDefault="00FC6C29" w:rsidP="00FC6C29">
      <w:pPr>
        <w:pStyle w:val="ListParagraph"/>
        <w:numPr>
          <w:ilvl w:val="0"/>
          <w:numId w:val="2"/>
        </w:numPr>
        <w:spacing w:before="0" w:after="0" w:line="240" w:lineRule="auto"/>
        <w:rPr>
          <w:sz w:val="24"/>
          <w:szCs w:val="24"/>
        </w:rPr>
      </w:pPr>
      <w:r w:rsidRPr="00FC6C29">
        <w:rPr>
          <w:sz w:val="24"/>
          <w:szCs w:val="24"/>
        </w:rPr>
        <w:t>At first tier review, the regulatory authority amended element 1.1.4 from not met to met, changing its original rating of standard 1.1 to Meeting NQS. Therefore, the service’s rating for Quality Area 1 was amended to Meeting NQS. However, it confirmed its original decision that element 7.2.2 was not met and so standard 7.2 remained Working Towards NQS. Quality Area 7 remained unchanged at Working Towards NQS. The service’s overall rating remained unchanged at Working Towards NQS.</w:t>
      </w:r>
    </w:p>
    <w:p w:rsidR="00FC6C29" w:rsidRDefault="00FC6C29" w:rsidP="00FC6C29">
      <w:pPr>
        <w:pStyle w:val="ListParagraph"/>
        <w:spacing w:before="0" w:after="0" w:line="240" w:lineRule="auto"/>
        <w:ind w:left="680"/>
        <w:rPr>
          <w:sz w:val="24"/>
          <w:szCs w:val="24"/>
        </w:rPr>
      </w:pPr>
    </w:p>
    <w:p w:rsidR="00FC6C29" w:rsidRPr="00574B34" w:rsidRDefault="00FC6C29" w:rsidP="00FC6C29">
      <w:pPr>
        <w:pStyle w:val="ListParagraph"/>
        <w:numPr>
          <w:ilvl w:val="0"/>
          <w:numId w:val="2"/>
        </w:numPr>
        <w:spacing w:before="0" w:after="0" w:line="240" w:lineRule="auto"/>
        <w:rPr>
          <w:sz w:val="24"/>
          <w:szCs w:val="24"/>
        </w:rPr>
      </w:pPr>
      <w:r w:rsidRPr="00FC6C29">
        <w:rPr>
          <w:sz w:val="24"/>
          <w:szCs w:val="24"/>
        </w:rPr>
        <w:t xml:space="preserve">In its response to the second tier review submission, the regulatory authority notes that it complied with requirements set out in the Children (Education and </w:t>
      </w:r>
      <w:r w:rsidRPr="00FC6C29">
        <w:rPr>
          <w:sz w:val="24"/>
          <w:szCs w:val="24"/>
        </w:rPr>
        <w:lastRenderedPageBreak/>
        <w:t>Care Services National Law Application) Act 2010 and regulations 63 and 64 of the Education and Care Services National Regulations for what a regulatory authority needs to consider when assessing approved education and care services and determining a rating. The regulatory authority notes that submissions made by the provider to the draft Assessment and Rating report outlining circumstances and facts existing at the time of the rating assessment were considered by the authorised officers in determining a final rating.</w:t>
      </w:r>
    </w:p>
    <w:p w:rsidR="0078222E" w:rsidRDefault="00B057CB" w:rsidP="00F60580">
      <w:pPr>
        <w:spacing w:before="360" w:line="240" w:lineRule="auto"/>
        <w:rPr>
          <w:rFonts w:cs="Arial"/>
          <w:b/>
          <w:sz w:val="24"/>
          <w:szCs w:val="24"/>
          <w14:cntxtAlts/>
        </w:rPr>
      </w:pPr>
      <w:r w:rsidRPr="00D12D05">
        <w:rPr>
          <w:rFonts w:cs="Arial"/>
          <w:b/>
          <w:sz w:val="24"/>
          <w:szCs w:val="24"/>
          <w14:cntxtAlts/>
        </w:rPr>
        <w:t>Applicant’s view</w:t>
      </w:r>
    </w:p>
    <w:p w:rsidR="005E4700" w:rsidRPr="00F05CA4" w:rsidRDefault="00FC6C29" w:rsidP="00FC6C29">
      <w:pPr>
        <w:pStyle w:val="ListParagraph"/>
        <w:numPr>
          <w:ilvl w:val="0"/>
          <w:numId w:val="2"/>
        </w:numPr>
        <w:spacing w:line="240" w:lineRule="auto"/>
        <w:rPr>
          <w:sz w:val="24"/>
          <w:szCs w:val="24"/>
        </w:rPr>
      </w:pPr>
      <w:r w:rsidRPr="00FC6C29">
        <w:rPr>
          <w:sz w:val="24"/>
          <w:szCs w:val="24"/>
        </w:rPr>
        <w:t xml:space="preserve">The provider states in its application for second tier review that it believes there were special circumstances existing at the time of the assessment and rating visit that meant the service was not able to demonstrate its regular level of quality. In particular, </w:t>
      </w:r>
      <w:r w:rsidR="00327C78">
        <w:rPr>
          <w:sz w:val="24"/>
          <w:szCs w:val="24"/>
        </w:rPr>
        <w:t xml:space="preserve">the </w:t>
      </w:r>
      <w:r w:rsidRPr="00FC6C29">
        <w:rPr>
          <w:sz w:val="24"/>
          <w:szCs w:val="24"/>
        </w:rPr>
        <w:t>performance review of a key staff member had not occurred as required by the service’s policy because the staff member had been having health problems. The approved provider also claims that the authorised officer did not consider all evidence offered by the service and available on the day of the assessmen</w:t>
      </w:r>
      <w:bookmarkStart w:id="0" w:name="_GoBack"/>
      <w:bookmarkEnd w:id="0"/>
      <w:r w:rsidRPr="00FC6C29">
        <w:rPr>
          <w:sz w:val="24"/>
          <w:szCs w:val="24"/>
        </w:rPr>
        <w:t>t and rating visit. For example, the service’s director, who is responsible for conducting performance reviews, was not present at the service during the Assessment and Rating visit, and the authorised officer declined to contact her. The provider also suggested during the visit that the nominated supervisor perform an appraisal of another staff member, but the authorised officer rejected the idea.</w:t>
      </w:r>
    </w:p>
    <w:p w:rsidR="0094046F" w:rsidRDefault="0094046F" w:rsidP="00F60580">
      <w:pPr>
        <w:spacing w:before="0" w:after="0" w:line="240" w:lineRule="auto"/>
        <w:rPr>
          <w:rFonts w:cs="Arial"/>
          <w:b/>
          <w:sz w:val="28"/>
          <w:szCs w:val="28"/>
          <w14:cntxtAlts/>
        </w:rPr>
      </w:pPr>
    </w:p>
    <w:p w:rsidR="00B057CB" w:rsidRPr="00D12D05" w:rsidRDefault="00B057CB" w:rsidP="00F60580">
      <w:pPr>
        <w:spacing w:before="0" w:after="0" w:line="240" w:lineRule="auto"/>
        <w:rPr>
          <w:rFonts w:cs="Arial"/>
          <w:b/>
          <w:sz w:val="28"/>
          <w:szCs w:val="28"/>
          <w14:cntxtAlts/>
        </w:rPr>
      </w:pPr>
      <w:r w:rsidRPr="00D12D05">
        <w:rPr>
          <w:rFonts w:cs="Arial"/>
          <w:b/>
          <w:sz w:val="28"/>
          <w:szCs w:val="28"/>
          <w14:cntxtAlts/>
        </w:rPr>
        <w:t>Evidence before the panel</w:t>
      </w:r>
    </w:p>
    <w:p w:rsidR="00B057CB" w:rsidRPr="00627933" w:rsidRDefault="00627933" w:rsidP="00F60580">
      <w:pPr>
        <w:pStyle w:val="ListParagraph"/>
        <w:numPr>
          <w:ilvl w:val="0"/>
          <w:numId w:val="2"/>
        </w:numPr>
        <w:spacing w:line="240" w:lineRule="auto"/>
        <w:rPr>
          <w:sz w:val="24"/>
          <w:szCs w:val="24"/>
        </w:rPr>
      </w:pPr>
      <w:r>
        <w:rPr>
          <w:sz w:val="24"/>
          <w:szCs w:val="24"/>
        </w:rPr>
        <w:t>The P</w:t>
      </w:r>
      <w:r w:rsidR="00B057CB" w:rsidRPr="00627933">
        <w:rPr>
          <w:sz w:val="24"/>
          <w:szCs w:val="24"/>
        </w:rPr>
        <w:t xml:space="preserve">anel considered all the evidence </w:t>
      </w:r>
      <w:r w:rsidR="001D1971">
        <w:rPr>
          <w:sz w:val="24"/>
          <w:szCs w:val="24"/>
        </w:rPr>
        <w:t xml:space="preserve">submitted </w:t>
      </w:r>
      <w:r w:rsidR="00B057CB" w:rsidRPr="00627933">
        <w:rPr>
          <w:sz w:val="24"/>
          <w:szCs w:val="24"/>
        </w:rPr>
        <w:t xml:space="preserve">by the </w:t>
      </w:r>
      <w:r>
        <w:rPr>
          <w:sz w:val="24"/>
          <w:szCs w:val="24"/>
        </w:rPr>
        <w:t xml:space="preserve">provider </w:t>
      </w:r>
      <w:r w:rsidR="00B057CB" w:rsidRPr="00627933">
        <w:rPr>
          <w:sz w:val="24"/>
          <w:szCs w:val="24"/>
        </w:rPr>
        <w:t>and the regulatory authority. This included:</w:t>
      </w:r>
    </w:p>
    <w:p w:rsidR="00793E34" w:rsidRPr="00627933" w:rsidRDefault="00793E34" w:rsidP="00F60580">
      <w:pPr>
        <w:pStyle w:val="ListParagraph"/>
        <w:numPr>
          <w:ilvl w:val="0"/>
          <w:numId w:val="4"/>
        </w:numPr>
        <w:spacing w:line="240" w:lineRule="auto"/>
        <w:rPr>
          <w:rFonts w:cs="Arial"/>
          <w:sz w:val="24"/>
          <w:szCs w:val="24"/>
          <w14:cntxtAlts/>
        </w:rPr>
      </w:pPr>
      <w:r w:rsidRPr="00627933">
        <w:rPr>
          <w:rFonts w:cs="Arial"/>
          <w:sz w:val="24"/>
          <w:szCs w:val="24"/>
          <w14:cntxtAlts/>
        </w:rPr>
        <w:t>the application for second tier review and its attachments</w:t>
      </w:r>
      <w:r w:rsidR="00F05CA4">
        <w:rPr>
          <w:rFonts w:cs="Arial"/>
          <w:sz w:val="24"/>
          <w:szCs w:val="24"/>
          <w14:cntxtAlts/>
        </w:rPr>
        <w:t>, including statements for each standard and evidence provided by educators</w:t>
      </w:r>
    </w:p>
    <w:p w:rsidR="00B057CB" w:rsidRDefault="00793E34" w:rsidP="00F60580">
      <w:pPr>
        <w:pStyle w:val="ListParagraph"/>
        <w:numPr>
          <w:ilvl w:val="0"/>
          <w:numId w:val="4"/>
        </w:numPr>
        <w:spacing w:line="240" w:lineRule="auto"/>
        <w:rPr>
          <w:rFonts w:cs="Arial"/>
          <w:sz w:val="24"/>
          <w:szCs w:val="24"/>
          <w14:cntxtAlts/>
        </w:rPr>
      </w:pPr>
      <w:r w:rsidRPr="00627933">
        <w:rPr>
          <w:rFonts w:cs="Arial"/>
          <w:sz w:val="24"/>
          <w:szCs w:val="24"/>
          <w14:cntxtAlts/>
        </w:rPr>
        <w:t xml:space="preserve">the </w:t>
      </w:r>
      <w:r w:rsidR="00627933">
        <w:rPr>
          <w:rFonts w:cs="Arial"/>
          <w:sz w:val="24"/>
          <w:szCs w:val="24"/>
          <w14:cntxtAlts/>
        </w:rPr>
        <w:t>Assessment and Rating I</w:t>
      </w:r>
      <w:r w:rsidR="00E16579" w:rsidRPr="00627933">
        <w:rPr>
          <w:rFonts w:cs="Arial"/>
          <w:sz w:val="24"/>
          <w:szCs w:val="24"/>
          <w14:cntxtAlts/>
        </w:rPr>
        <w:t>nstrument</w:t>
      </w:r>
      <w:r w:rsidRPr="00627933">
        <w:rPr>
          <w:rFonts w:cs="Arial"/>
          <w:sz w:val="24"/>
          <w:szCs w:val="24"/>
          <w14:cntxtAlts/>
        </w:rPr>
        <w:t xml:space="preserve"> and </w:t>
      </w:r>
      <w:r w:rsidR="00633F04">
        <w:rPr>
          <w:rFonts w:cs="Arial"/>
          <w:sz w:val="24"/>
          <w:szCs w:val="24"/>
          <w14:cntxtAlts/>
        </w:rPr>
        <w:t xml:space="preserve">the </w:t>
      </w:r>
      <w:r w:rsidR="00627933">
        <w:rPr>
          <w:rFonts w:cs="Arial"/>
          <w:sz w:val="24"/>
          <w:szCs w:val="24"/>
          <w14:cntxtAlts/>
        </w:rPr>
        <w:t>final Assessment and Rating R</w:t>
      </w:r>
      <w:r w:rsidR="00E16579" w:rsidRPr="00627933">
        <w:rPr>
          <w:rFonts w:cs="Arial"/>
          <w:sz w:val="24"/>
          <w:szCs w:val="24"/>
          <w14:cntxtAlts/>
        </w:rPr>
        <w:t>eport</w:t>
      </w:r>
    </w:p>
    <w:p w:rsidR="00E76A5C" w:rsidRPr="00627933" w:rsidRDefault="00E76A5C" w:rsidP="00F60580">
      <w:pPr>
        <w:pStyle w:val="ListParagraph"/>
        <w:numPr>
          <w:ilvl w:val="0"/>
          <w:numId w:val="4"/>
        </w:numPr>
        <w:spacing w:line="240" w:lineRule="auto"/>
        <w:rPr>
          <w:rFonts w:cs="Arial"/>
          <w:sz w:val="24"/>
          <w:szCs w:val="24"/>
          <w14:cntxtAlts/>
        </w:rPr>
      </w:pPr>
      <w:r>
        <w:rPr>
          <w:rFonts w:cs="Arial"/>
          <w:sz w:val="24"/>
          <w:szCs w:val="24"/>
          <w14:cntxtAlts/>
        </w:rPr>
        <w:t>the application for first tier review and its attachments</w:t>
      </w:r>
    </w:p>
    <w:p w:rsidR="00FC6C29" w:rsidRDefault="00627933" w:rsidP="00F60580">
      <w:pPr>
        <w:pStyle w:val="ListParagraph"/>
        <w:numPr>
          <w:ilvl w:val="0"/>
          <w:numId w:val="4"/>
        </w:numPr>
        <w:spacing w:line="240" w:lineRule="auto"/>
        <w:rPr>
          <w:rFonts w:cs="Arial"/>
          <w:sz w:val="24"/>
          <w:szCs w:val="24"/>
          <w14:cntxtAlts/>
        </w:rPr>
      </w:pPr>
      <w:r>
        <w:rPr>
          <w:rFonts w:cs="Arial"/>
          <w:sz w:val="24"/>
          <w:szCs w:val="24"/>
          <w14:cntxtAlts/>
        </w:rPr>
        <w:t xml:space="preserve">the </w:t>
      </w:r>
      <w:r w:rsidR="00793E34" w:rsidRPr="00627933">
        <w:rPr>
          <w:rFonts w:cs="Arial"/>
          <w:sz w:val="24"/>
          <w:szCs w:val="24"/>
          <w14:cntxtAlts/>
        </w:rPr>
        <w:t>re</w:t>
      </w:r>
      <w:r w:rsidR="00B75306">
        <w:rPr>
          <w:rFonts w:cs="Arial"/>
          <w:sz w:val="24"/>
          <w:szCs w:val="24"/>
          <w14:cntxtAlts/>
        </w:rPr>
        <w:t>gulatory authority’s findings at</w:t>
      </w:r>
      <w:r w:rsidR="00793E34" w:rsidRPr="00627933">
        <w:rPr>
          <w:rFonts w:cs="Arial"/>
          <w:sz w:val="24"/>
          <w:szCs w:val="24"/>
          <w14:cntxtAlts/>
        </w:rPr>
        <w:t xml:space="preserve"> first tier review</w:t>
      </w:r>
    </w:p>
    <w:p w:rsidR="00F05CA4" w:rsidRDefault="00FC6C29" w:rsidP="00F60580">
      <w:pPr>
        <w:pStyle w:val="ListParagraph"/>
        <w:numPr>
          <w:ilvl w:val="0"/>
          <w:numId w:val="4"/>
        </w:numPr>
        <w:spacing w:line="240" w:lineRule="auto"/>
        <w:rPr>
          <w:rFonts w:cs="Arial"/>
          <w:sz w:val="24"/>
          <w:szCs w:val="24"/>
          <w14:cntxtAlts/>
        </w:rPr>
      </w:pPr>
      <w:r>
        <w:rPr>
          <w:rFonts w:cs="Arial"/>
          <w:sz w:val="24"/>
          <w:szCs w:val="24"/>
          <w14:cntxtAlts/>
        </w:rPr>
        <w:t>the provider’s response to the regulatory authority’s submissions</w:t>
      </w:r>
      <w:r w:rsidR="00F05CA4">
        <w:rPr>
          <w:rFonts w:cs="Arial"/>
          <w:sz w:val="24"/>
          <w:szCs w:val="24"/>
          <w14:cntxtAlts/>
        </w:rPr>
        <w:t>.</w:t>
      </w:r>
    </w:p>
    <w:p w:rsidR="00F05CA4" w:rsidRPr="00F05CA4" w:rsidRDefault="00F05CA4" w:rsidP="00F60580">
      <w:pPr>
        <w:pStyle w:val="ListParagraph"/>
        <w:spacing w:line="240" w:lineRule="auto"/>
        <w:ind w:left="1440"/>
        <w:rPr>
          <w:rFonts w:cs="Arial"/>
          <w:sz w:val="24"/>
          <w:szCs w:val="24"/>
          <w14:cntxtAlts/>
        </w:rPr>
      </w:pPr>
    </w:p>
    <w:p w:rsidR="00B057CB" w:rsidRDefault="00B057CB" w:rsidP="00F60580">
      <w:pPr>
        <w:pStyle w:val="ListParagraph"/>
        <w:numPr>
          <w:ilvl w:val="0"/>
          <w:numId w:val="2"/>
        </w:numPr>
        <w:spacing w:line="240" w:lineRule="auto"/>
        <w:rPr>
          <w:sz w:val="24"/>
          <w:szCs w:val="24"/>
        </w:rPr>
      </w:pPr>
      <w:r w:rsidRPr="00274F70">
        <w:rPr>
          <w:sz w:val="24"/>
          <w:szCs w:val="24"/>
        </w:rPr>
        <w:t>The</w:t>
      </w:r>
      <w:r w:rsidR="00490470">
        <w:rPr>
          <w:sz w:val="24"/>
          <w:szCs w:val="24"/>
        </w:rPr>
        <w:t xml:space="preserve"> P</w:t>
      </w:r>
      <w:r w:rsidRPr="00274F70">
        <w:rPr>
          <w:sz w:val="24"/>
          <w:szCs w:val="24"/>
        </w:rPr>
        <w:t>anel was also provided wit</w:t>
      </w:r>
      <w:r w:rsidR="008369B7" w:rsidRPr="00274F70">
        <w:rPr>
          <w:sz w:val="24"/>
          <w:szCs w:val="24"/>
        </w:rPr>
        <w:t xml:space="preserve">h advice from ACECQA on </w:t>
      </w:r>
      <w:r w:rsidR="00606B8E">
        <w:rPr>
          <w:sz w:val="24"/>
          <w:szCs w:val="24"/>
        </w:rPr>
        <w:t xml:space="preserve">the </w:t>
      </w:r>
      <w:r w:rsidR="00327C78">
        <w:rPr>
          <w:sz w:val="24"/>
          <w:szCs w:val="24"/>
        </w:rPr>
        <w:t xml:space="preserve">element </w:t>
      </w:r>
      <w:r w:rsidR="002615DC" w:rsidRPr="00274F70">
        <w:rPr>
          <w:sz w:val="24"/>
          <w:szCs w:val="24"/>
        </w:rPr>
        <w:t>under review</w:t>
      </w:r>
      <w:r w:rsidR="00793E34" w:rsidRPr="00274F70">
        <w:rPr>
          <w:sz w:val="24"/>
          <w:szCs w:val="24"/>
        </w:rPr>
        <w:t>.</w:t>
      </w:r>
    </w:p>
    <w:p w:rsidR="00B057CB" w:rsidRPr="00D12D05" w:rsidRDefault="00B057CB" w:rsidP="00F60580">
      <w:pPr>
        <w:spacing w:before="360" w:line="240" w:lineRule="auto"/>
        <w:rPr>
          <w:rFonts w:cs="Arial"/>
          <w:b/>
          <w:sz w:val="28"/>
          <w:szCs w:val="28"/>
          <w14:cntxtAlts/>
        </w:rPr>
      </w:pPr>
      <w:r w:rsidRPr="00D12D05">
        <w:rPr>
          <w:rFonts w:cs="Arial"/>
          <w:b/>
          <w:sz w:val="28"/>
          <w:szCs w:val="28"/>
          <w14:cntxtAlts/>
        </w:rPr>
        <w:t xml:space="preserve">The </w:t>
      </w:r>
      <w:r w:rsidR="00027A91" w:rsidRPr="00D12D05">
        <w:rPr>
          <w:rFonts w:cs="Arial"/>
          <w:b/>
          <w:sz w:val="28"/>
          <w:szCs w:val="28"/>
          <w14:cntxtAlts/>
        </w:rPr>
        <w:t>l</w:t>
      </w:r>
      <w:r w:rsidRPr="00D12D05">
        <w:rPr>
          <w:rFonts w:cs="Arial"/>
          <w:b/>
          <w:sz w:val="28"/>
          <w:szCs w:val="28"/>
          <w14:cntxtAlts/>
        </w:rPr>
        <w:t>aw</w:t>
      </w:r>
    </w:p>
    <w:p w:rsidR="00793E34" w:rsidRPr="00274F70" w:rsidRDefault="00793E34" w:rsidP="00F60580">
      <w:pPr>
        <w:pStyle w:val="ListParagraph"/>
        <w:numPr>
          <w:ilvl w:val="0"/>
          <w:numId w:val="2"/>
        </w:numPr>
        <w:spacing w:line="240" w:lineRule="auto"/>
        <w:rPr>
          <w:sz w:val="24"/>
          <w:szCs w:val="24"/>
        </w:rPr>
      </w:pPr>
      <w:r w:rsidRPr="00274F70">
        <w:rPr>
          <w:sz w:val="24"/>
          <w:szCs w:val="24"/>
        </w:rPr>
        <w:t xml:space="preserve">Section 151 </w:t>
      </w:r>
      <w:r w:rsidR="00627933" w:rsidRPr="00274F70">
        <w:rPr>
          <w:sz w:val="24"/>
          <w:szCs w:val="24"/>
        </w:rPr>
        <w:t xml:space="preserve">of the National Law </w:t>
      </w:r>
      <w:r w:rsidR="00DC7E0A">
        <w:rPr>
          <w:sz w:val="24"/>
          <w:szCs w:val="24"/>
        </w:rPr>
        <w:t>states that f</w:t>
      </w:r>
      <w:r w:rsidR="001D1971">
        <w:rPr>
          <w:sz w:val="24"/>
          <w:szCs w:val="24"/>
        </w:rPr>
        <w:t>ollowing a review, the Ratings </w:t>
      </w:r>
      <w:r w:rsidRPr="00274F70">
        <w:rPr>
          <w:sz w:val="24"/>
          <w:szCs w:val="24"/>
        </w:rPr>
        <w:t>Review Panel may:</w:t>
      </w:r>
    </w:p>
    <w:p w:rsidR="00793E34" w:rsidRPr="003411DD" w:rsidRDefault="00793E34" w:rsidP="00F60580">
      <w:pPr>
        <w:pStyle w:val="ListParagraph"/>
        <w:spacing w:before="41" w:after="0" w:line="240" w:lineRule="auto"/>
        <w:ind w:right="-20" w:firstLine="720"/>
        <w:contextualSpacing w:val="0"/>
        <w:rPr>
          <w:rFonts w:eastAsia="Arial" w:cs="Arial"/>
          <w:sz w:val="24"/>
          <w:szCs w:val="24"/>
          <w14:cntxtAlts/>
        </w:rPr>
      </w:pPr>
      <w:r w:rsidRPr="003411DD">
        <w:rPr>
          <w:rFonts w:eastAsia="Arial" w:cs="Arial"/>
          <w:sz w:val="24"/>
          <w:szCs w:val="24"/>
          <w14:cntxtAlts/>
        </w:rPr>
        <w:t>(a) confirm the rating levels determined by the Regulatory Authority; or</w:t>
      </w:r>
    </w:p>
    <w:p w:rsidR="00622E2C" w:rsidRPr="003A52DA" w:rsidRDefault="00627933" w:rsidP="003A52DA">
      <w:pPr>
        <w:pStyle w:val="ListParagraph"/>
        <w:spacing w:before="41" w:after="0" w:line="240" w:lineRule="auto"/>
        <w:ind w:right="-20" w:firstLine="720"/>
        <w:contextualSpacing w:val="0"/>
        <w:rPr>
          <w:rFonts w:eastAsia="Arial"/>
        </w:rPr>
      </w:pPr>
      <w:r>
        <w:rPr>
          <w:rFonts w:eastAsia="Arial" w:cs="Arial"/>
          <w:sz w:val="24"/>
          <w:szCs w:val="24"/>
          <w14:cntxtAlts/>
        </w:rPr>
        <w:t>(b) amend the rating levels</w:t>
      </w:r>
      <w:r w:rsidR="00793E34" w:rsidRPr="003411DD">
        <w:rPr>
          <w:rFonts w:eastAsia="Arial" w:cs="Arial"/>
          <w:sz w:val="24"/>
          <w:szCs w:val="24"/>
          <w14:cntxtAlts/>
        </w:rPr>
        <w:t>.</w:t>
      </w:r>
    </w:p>
    <w:p w:rsidR="00FC6C29" w:rsidRPr="00FC6C29" w:rsidRDefault="00FC6C29" w:rsidP="00FC6C29">
      <w:pPr>
        <w:pStyle w:val="ListParagraph"/>
        <w:rPr>
          <w:sz w:val="24"/>
          <w:szCs w:val="24"/>
        </w:rPr>
      </w:pPr>
    </w:p>
    <w:p w:rsidR="00FC6C29" w:rsidRPr="00FC6C29" w:rsidRDefault="00FC6C29" w:rsidP="00FC6C29">
      <w:pPr>
        <w:autoSpaceDE w:val="0"/>
        <w:autoSpaceDN w:val="0"/>
        <w:adjustRightInd w:val="0"/>
        <w:spacing w:before="0" w:after="0" w:line="240" w:lineRule="auto"/>
        <w:rPr>
          <w:b/>
          <w:sz w:val="24"/>
          <w:szCs w:val="24"/>
        </w:rPr>
      </w:pPr>
      <w:r w:rsidRPr="00FC6C29">
        <w:rPr>
          <w:b/>
          <w:sz w:val="24"/>
          <w:szCs w:val="24"/>
        </w:rPr>
        <w:lastRenderedPageBreak/>
        <w:t>Timeframes</w:t>
      </w:r>
    </w:p>
    <w:p w:rsidR="00FC6C29" w:rsidRPr="008B0492" w:rsidRDefault="00FC6C29" w:rsidP="00FC6C29">
      <w:pPr>
        <w:pStyle w:val="ListParagraph"/>
        <w:numPr>
          <w:ilvl w:val="0"/>
          <w:numId w:val="2"/>
        </w:numPr>
        <w:autoSpaceDE w:val="0"/>
        <w:autoSpaceDN w:val="0"/>
        <w:adjustRightInd w:val="0"/>
        <w:spacing w:before="0" w:after="0" w:line="240" w:lineRule="auto"/>
        <w:rPr>
          <w:sz w:val="24"/>
          <w:szCs w:val="24"/>
        </w:rPr>
      </w:pPr>
      <w:r w:rsidRPr="008B0492">
        <w:rPr>
          <w:sz w:val="24"/>
          <w:szCs w:val="24"/>
        </w:rPr>
        <w:t>Approved providers must apply for second tier review within 14 days of receiving their first tier review decision notice (section 145 of the National Law). The approved provider in this case applied just after 1am on day 15, meaning they applied one hour after the legislated 14 day application period.</w:t>
      </w:r>
    </w:p>
    <w:p w:rsidR="00FC6C29" w:rsidRPr="00FC6C29" w:rsidRDefault="00FC6C29" w:rsidP="00FC6C29">
      <w:pPr>
        <w:autoSpaceDE w:val="0"/>
        <w:autoSpaceDN w:val="0"/>
        <w:adjustRightInd w:val="0"/>
        <w:spacing w:before="0" w:after="0" w:line="240" w:lineRule="auto"/>
        <w:ind w:left="680"/>
        <w:rPr>
          <w:sz w:val="24"/>
          <w:szCs w:val="24"/>
          <w:highlight w:val="yellow"/>
        </w:rPr>
      </w:pPr>
    </w:p>
    <w:p w:rsidR="008B0492" w:rsidRPr="008B0492" w:rsidRDefault="008B0492" w:rsidP="008B0492">
      <w:pPr>
        <w:pStyle w:val="ListParagraph"/>
        <w:numPr>
          <w:ilvl w:val="0"/>
          <w:numId w:val="2"/>
        </w:numPr>
        <w:rPr>
          <w:sz w:val="24"/>
          <w:szCs w:val="24"/>
        </w:rPr>
      </w:pPr>
      <w:r w:rsidRPr="008B0492">
        <w:rPr>
          <w:sz w:val="24"/>
          <w:szCs w:val="24"/>
        </w:rPr>
        <w:t>The Panel noted the application was received just after 1am on day 15, meaning the service applied one hour after the legislated 14 day application period. The Panel accepted the application as valid on the basis that the provider clearly intended to make an application within the application period and the legislation would not intend to deny the service access to a review.</w:t>
      </w:r>
    </w:p>
    <w:p w:rsidR="00027A91" w:rsidRPr="008B0492" w:rsidRDefault="00027A91" w:rsidP="008B0492">
      <w:pPr>
        <w:keepNext/>
        <w:autoSpaceDE w:val="0"/>
        <w:autoSpaceDN w:val="0"/>
        <w:adjustRightInd w:val="0"/>
        <w:spacing w:before="360" w:after="0" w:line="240" w:lineRule="auto"/>
        <w:ind w:left="113"/>
        <w:rPr>
          <w:rFonts w:cs="Arial"/>
          <w:b/>
          <w:sz w:val="28"/>
          <w:szCs w:val="28"/>
          <w14:cntxtAlts/>
        </w:rPr>
      </w:pPr>
      <w:r w:rsidRPr="008B0492">
        <w:rPr>
          <w:rFonts w:cs="Arial"/>
          <w:b/>
          <w:sz w:val="28"/>
          <w:szCs w:val="28"/>
          <w14:cntxtAlts/>
        </w:rPr>
        <w:t>Review of rating levels</w:t>
      </w:r>
    </w:p>
    <w:p w:rsidR="00B408D4" w:rsidRDefault="00FC6C29" w:rsidP="00FC6C29">
      <w:pPr>
        <w:pStyle w:val="ListParagraph"/>
        <w:keepNext/>
        <w:numPr>
          <w:ilvl w:val="0"/>
          <w:numId w:val="2"/>
        </w:numPr>
        <w:spacing w:line="240" w:lineRule="auto"/>
        <w:rPr>
          <w:rFonts w:eastAsia="Arial" w:cs="Arial"/>
          <w:sz w:val="24"/>
          <w:szCs w:val="24"/>
          <w14:cntxtAlts/>
        </w:rPr>
      </w:pPr>
      <w:r>
        <w:rPr>
          <w:rFonts w:eastAsia="Arial" w:cs="Arial"/>
          <w:sz w:val="24"/>
          <w:szCs w:val="24"/>
          <w14:cntxtAlts/>
        </w:rPr>
        <w:t>The Panel considered standard 7.2</w:t>
      </w:r>
      <w:r w:rsidR="00C64D56">
        <w:rPr>
          <w:rFonts w:eastAsia="Arial" w:cs="Arial"/>
          <w:sz w:val="24"/>
          <w:szCs w:val="24"/>
          <w14:cntxtAlts/>
        </w:rPr>
        <w:t>.</w:t>
      </w:r>
    </w:p>
    <w:p w:rsidR="006067AD" w:rsidRDefault="006067AD" w:rsidP="00F60580">
      <w:pPr>
        <w:pStyle w:val="ListParagraph"/>
        <w:keepNext/>
        <w:spacing w:line="240" w:lineRule="auto"/>
        <w:ind w:left="680"/>
        <w:rPr>
          <w:rFonts w:eastAsia="Arial" w:cs="Arial"/>
          <w:sz w:val="24"/>
          <w:szCs w:val="24"/>
          <w14:cntxtAlts/>
        </w:rPr>
      </w:pPr>
    </w:p>
    <w:p w:rsidR="00A21F37" w:rsidRDefault="00FC6C29" w:rsidP="00F60580">
      <w:pPr>
        <w:spacing w:before="0" w:line="240" w:lineRule="auto"/>
        <w:rPr>
          <w:sz w:val="24"/>
          <w:szCs w:val="24"/>
        </w:rPr>
      </w:pPr>
      <w:r>
        <w:rPr>
          <w:b/>
          <w:sz w:val="24"/>
          <w:szCs w:val="24"/>
        </w:rPr>
        <w:t>Standard 7</w:t>
      </w:r>
      <w:r w:rsidR="00A21F37">
        <w:rPr>
          <w:b/>
          <w:sz w:val="24"/>
          <w:szCs w:val="24"/>
        </w:rPr>
        <w:t>.2</w:t>
      </w:r>
    </w:p>
    <w:p w:rsidR="00FC6C29" w:rsidRPr="00FC6C29" w:rsidRDefault="00FC6C29" w:rsidP="00FC6C29">
      <w:pPr>
        <w:pStyle w:val="ListParagraph"/>
        <w:numPr>
          <w:ilvl w:val="0"/>
          <w:numId w:val="2"/>
        </w:numPr>
        <w:spacing w:before="0" w:after="0" w:line="240" w:lineRule="auto"/>
        <w:rPr>
          <w:sz w:val="24"/>
          <w:szCs w:val="24"/>
        </w:rPr>
      </w:pPr>
      <w:r>
        <w:rPr>
          <w:sz w:val="24"/>
          <w:szCs w:val="24"/>
        </w:rPr>
        <w:t>Standard 7</w:t>
      </w:r>
      <w:r w:rsidR="00A21F37">
        <w:rPr>
          <w:sz w:val="24"/>
          <w:szCs w:val="24"/>
        </w:rPr>
        <w:t>.2</w:t>
      </w:r>
      <w:r w:rsidR="00A21F37" w:rsidRPr="006D38AF">
        <w:rPr>
          <w:sz w:val="24"/>
          <w:szCs w:val="24"/>
        </w:rPr>
        <w:t>:</w:t>
      </w:r>
      <w:r>
        <w:rPr>
          <w:sz w:val="24"/>
          <w:szCs w:val="24"/>
        </w:rPr>
        <w:br/>
      </w:r>
      <w:r w:rsidRPr="00FC6C29">
        <w:rPr>
          <w:sz w:val="24"/>
          <w:szCs w:val="24"/>
        </w:rPr>
        <w:t>There is a commitment to continuous improvement</w:t>
      </w:r>
    </w:p>
    <w:tbl>
      <w:tblPr>
        <w:tblW w:w="0" w:type="auto"/>
        <w:tblBorders>
          <w:top w:val="nil"/>
          <w:left w:val="nil"/>
          <w:bottom w:val="nil"/>
          <w:right w:val="nil"/>
        </w:tblBorders>
        <w:tblLayout w:type="fixed"/>
        <w:tblLook w:val="0000" w:firstRow="0" w:lastRow="0" w:firstColumn="0" w:lastColumn="0" w:noHBand="0" w:noVBand="0"/>
      </w:tblPr>
      <w:tblGrid>
        <w:gridCol w:w="8836"/>
      </w:tblGrid>
      <w:tr w:rsidR="00A21F37" w:rsidRPr="00A8039D" w:rsidTr="005B7DCF">
        <w:trPr>
          <w:trHeight w:val="209"/>
        </w:trPr>
        <w:tc>
          <w:tcPr>
            <w:tcW w:w="8836" w:type="dxa"/>
          </w:tcPr>
          <w:p w:rsidR="00A21F37" w:rsidRPr="00A8039D" w:rsidRDefault="00A21F37" w:rsidP="00F60580">
            <w:pPr>
              <w:pStyle w:val="ListParagraph"/>
              <w:spacing w:after="0" w:line="240" w:lineRule="auto"/>
              <w:rPr>
                <w:sz w:val="24"/>
                <w:szCs w:val="24"/>
              </w:rPr>
            </w:pPr>
          </w:p>
        </w:tc>
      </w:tr>
    </w:tbl>
    <w:p w:rsidR="00FC6C29" w:rsidRDefault="00B23C01" w:rsidP="00FC6C29">
      <w:pPr>
        <w:pStyle w:val="ListParagraph"/>
        <w:numPr>
          <w:ilvl w:val="0"/>
          <w:numId w:val="2"/>
        </w:numPr>
        <w:spacing w:before="0" w:after="0" w:line="240" w:lineRule="auto"/>
        <w:rPr>
          <w:sz w:val="24"/>
          <w:szCs w:val="24"/>
        </w:rPr>
      </w:pPr>
      <w:r>
        <w:rPr>
          <w:sz w:val="24"/>
          <w:szCs w:val="24"/>
        </w:rPr>
        <w:t>Standard 7.2 is made up of three elements, one of which is under review.</w:t>
      </w:r>
      <w:r>
        <w:rPr>
          <w:sz w:val="24"/>
          <w:szCs w:val="24"/>
        </w:rPr>
        <w:br/>
      </w:r>
    </w:p>
    <w:p w:rsidR="00B23C01" w:rsidRPr="00B23C01" w:rsidRDefault="00B23C01" w:rsidP="00B23C01">
      <w:pPr>
        <w:spacing w:before="0" w:after="0" w:line="240" w:lineRule="auto"/>
        <w:rPr>
          <w:i/>
          <w:sz w:val="24"/>
          <w:szCs w:val="24"/>
        </w:rPr>
      </w:pPr>
      <w:r>
        <w:rPr>
          <w:i/>
          <w:sz w:val="24"/>
          <w:szCs w:val="24"/>
        </w:rPr>
        <w:t>Element 7.2.2</w:t>
      </w:r>
    </w:p>
    <w:p w:rsidR="00B23C01" w:rsidRPr="00B23C01" w:rsidRDefault="00B23C01" w:rsidP="00B23C01">
      <w:pPr>
        <w:pStyle w:val="ListParagraph"/>
        <w:numPr>
          <w:ilvl w:val="0"/>
          <w:numId w:val="2"/>
        </w:numPr>
        <w:spacing w:before="0" w:after="0" w:line="240" w:lineRule="auto"/>
        <w:rPr>
          <w:sz w:val="24"/>
          <w:szCs w:val="24"/>
        </w:rPr>
      </w:pPr>
      <w:r w:rsidRPr="00B23C01">
        <w:rPr>
          <w:sz w:val="24"/>
          <w:szCs w:val="24"/>
        </w:rPr>
        <w:t>Element 7.2.2 is that:</w:t>
      </w:r>
    </w:p>
    <w:p w:rsidR="00B23C01" w:rsidRPr="00B23C01" w:rsidRDefault="00B23C01" w:rsidP="00B23C01">
      <w:pPr>
        <w:pStyle w:val="ListParagraph"/>
        <w:spacing w:before="0" w:after="0" w:line="240" w:lineRule="auto"/>
        <w:ind w:left="680"/>
        <w:rPr>
          <w:sz w:val="24"/>
          <w:szCs w:val="24"/>
        </w:rPr>
      </w:pPr>
      <w:r w:rsidRPr="00B23C01">
        <w:rPr>
          <w:sz w:val="24"/>
          <w:szCs w:val="24"/>
        </w:rPr>
        <w:t>The performance of educators, co-ordinators and staff members is evaluated and individual development plans are in place to support performance improvement</w:t>
      </w:r>
    </w:p>
    <w:p w:rsidR="00B23C01" w:rsidRPr="00B23C01" w:rsidRDefault="00B23C01" w:rsidP="00B23C01">
      <w:pPr>
        <w:spacing w:before="0" w:after="0" w:line="240" w:lineRule="auto"/>
        <w:rPr>
          <w:sz w:val="24"/>
          <w:szCs w:val="24"/>
        </w:rPr>
      </w:pPr>
    </w:p>
    <w:p w:rsidR="00A21F37" w:rsidRDefault="00A21F37" w:rsidP="00FC6C29">
      <w:pPr>
        <w:pStyle w:val="ListParagraph"/>
        <w:numPr>
          <w:ilvl w:val="0"/>
          <w:numId w:val="2"/>
        </w:numPr>
        <w:spacing w:before="0" w:after="0" w:line="240" w:lineRule="auto"/>
        <w:rPr>
          <w:sz w:val="24"/>
          <w:szCs w:val="24"/>
        </w:rPr>
      </w:pPr>
      <w:r w:rsidRPr="00055CDB">
        <w:rPr>
          <w:sz w:val="24"/>
          <w:szCs w:val="24"/>
        </w:rPr>
        <w:t>T</w:t>
      </w:r>
      <w:r w:rsidRPr="00A21F37">
        <w:rPr>
          <w:sz w:val="24"/>
          <w:szCs w:val="24"/>
        </w:rPr>
        <w:t xml:space="preserve">he Panel noted that </w:t>
      </w:r>
      <w:r w:rsidR="00B23C01">
        <w:rPr>
          <w:sz w:val="24"/>
          <w:szCs w:val="24"/>
        </w:rPr>
        <w:t>for this element to be met,</w:t>
      </w:r>
      <w:r w:rsidRPr="00A21F37">
        <w:rPr>
          <w:sz w:val="24"/>
          <w:szCs w:val="24"/>
        </w:rPr>
        <w:t xml:space="preserve"> it may expect to see evidence of the following</w:t>
      </w:r>
      <w:r w:rsidRPr="00055CDB">
        <w:rPr>
          <w:sz w:val="24"/>
          <w:szCs w:val="24"/>
        </w:rPr>
        <w:t>:</w:t>
      </w:r>
    </w:p>
    <w:tbl>
      <w:tblPr>
        <w:tblW w:w="0" w:type="auto"/>
        <w:tblBorders>
          <w:top w:val="nil"/>
          <w:left w:val="nil"/>
          <w:bottom w:val="nil"/>
          <w:right w:val="nil"/>
        </w:tblBorders>
        <w:tblLook w:val="0000" w:firstRow="0" w:lastRow="0" w:firstColumn="0" w:lastColumn="0" w:noHBand="0" w:noVBand="0"/>
      </w:tblPr>
      <w:tblGrid>
        <w:gridCol w:w="8836"/>
      </w:tblGrid>
      <w:tr w:rsidR="00A21F37" w:rsidRPr="00CB2CE2" w:rsidTr="005B7DCF">
        <w:trPr>
          <w:trHeight w:val="629"/>
        </w:trPr>
        <w:tc>
          <w:tcPr>
            <w:tcW w:w="8836" w:type="dxa"/>
          </w:tcPr>
          <w:tbl>
            <w:tblPr>
              <w:tblW w:w="0" w:type="auto"/>
              <w:tblBorders>
                <w:top w:val="nil"/>
                <w:left w:val="nil"/>
                <w:bottom w:val="nil"/>
                <w:right w:val="nil"/>
              </w:tblBorders>
              <w:tblLook w:val="0000" w:firstRow="0" w:lastRow="0" w:firstColumn="0" w:lastColumn="0" w:noHBand="0" w:noVBand="0"/>
            </w:tblPr>
            <w:tblGrid>
              <w:gridCol w:w="8620"/>
            </w:tblGrid>
            <w:tr w:rsidR="00A21F37" w:rsidRPr="00A8039D" w:rsidTr="005B7DCF">
              <w:trPr>
                <w:trHeight w:val="533"/>
              </w:trPr>
              <w:tc>
                <w:tcPr>
                  <w:tcW w:w="8836" w:type="dxa"/>
                </w:tcPr>
                <w:tbl>
                  <w:tblPr>
                    <w:tblW w:w="0" w:type="auto"/>
                    <w:tblBorders>
                      <w:top w:val="nil"/>
                      <w:left w:val="nil"/>
                      <w:bottom w:val="nil"/>
                      <w:right w:val="nil"/>
                    </w:tblBorders>
                    <w:tblLook w:val="0000" w:firstRow="0" w:lastRow="0" w:firstColumn="0" w:lastColumn="0" w:noHBand="0" w:noVBand="0"/>
                  </w:tblPr>
                  <w:tblGrid>
                    <w:gridCol w:w="8404"/>
                  </w:tblGrid>
                  <w:tr w:rsidR="00A21F37" w:rsidRPr="00A8039D" w:rsidTr="005B7DCF">
                    <w:trPr>
                      <w:trHeight w:val="1073"/>
                    </w:trPr>
                    <w:tc>
                      <w:tcPr>
                        <w:tcW w:w="8836" w:type="dxa"/>
                      </w:tcPr>
                      <w:tbl>
                        <w:tblPr>
                          <w:tblW w:w="0" w:type="auto"/>
                          <w:tblLook w:val="0000" w:firstRow="0" w:lastRow="0" w:firstColumn="0" w:lastColumn="0" w:noHBand="0" w:noVBand="0"/>
                        </w:tblPr>
                        <w:tblGrid>
                          <w:gridCol w:w="8188"/>
                        </w:tblGrid>
                        <w:tr w:rsidR="00A21F37" w:rsidRPr="00766127" w:rsidTr="005B7DCF">
                          <w:trPr>
                            <w:trHeight w:val="993"/>
                          </w:trPr>
                          <w:tc>
                            <w:tcPr>
                              <w:tcW w:w="0" w:type="auto"/>
                            </w:tcPr>
                            <w:p w:rsidR="00B23C01" w:rsidRPr="00B23C01" w:rsidRDefault="00B23C01" w:rsidP="00B23C01">
                              <w:pPr>
                                <w:pStyle w:val="ListParagraph"/>
                                <w:numPr>
                                  <w:ilvl w:val="0"/>
                                  <w:numId w:val="11"/>
                                </w:numPr>
                                <w:spacing w:after="0" w:line="240" w:lineRule="auto"/>
                                <w:rPr>
                                  <w:sz w:val="24"/>
                                  <w:szCs w:val="24"/>
                                </w:rPr>
                              </w:pPr>
                              <w:r w:rsidRPr="00B23C01">
                                <w:rPr>
                                  <w:sz w:val="24"/>
                                  <w:szCs w:val="24"/>
                                </w:rPr>
                                <w:t>how the service’s performance review cycle contributes to planning for learning and further development</w:t>
                              </w:r>
                            </w:p>
                            <w:p w:rsidR="00B23C01" w:rsidRPr="00B23C01" w:rsidRDefault="00B23C01" w:rsidP="00B23C01">
                              <w:pPr>
                                <w:pStyle w:val="ListParagraph"/>
                                <w:numPr>
                                  <w:ilvl w:val="0"/>
                                  <w:numId w:val="11"/>
                                </w:numPr>
                                <w:spacing w:after="0" w:line="240" w:lineRule="auto"/>
                                <w:rPr>
                                  <w:sz w:val="24"/>
                                  <w:szCs w:val="24"/>
                                </w:rPr>
                              </w:pPr>
                              <w:r w:rsidRPr="00B23C01">
                                <w:rPr>
                                  <w:sz w:val="24"/>
                                  <w:szCs w:val="24"/>
                                </w:rPr>
                                <w:t>how the effort, contribution and achievement of educators, co-ordinators and staff members is acknowledged and celebrated</w:t>
                              </w:r>
                            </w:p>
                            <w:p w:rsidR="00B23C01" w:rsidRPr="00B23C01" w:rsidRDefault="00B23C01" w:rsidP="00B23C01">
                              <w:pPr>
                                <w:pStyle w:val="ListParagraph"/>
                                <w:numPr>
                                  <w:ilvl w:val="0"/>
                                  <w:numId w:val="11"/>
                                </w:numPr>
                                <w:spacing w:after="0" w:line="240" w:lineRule="auto"/>
                                <w:rPr>
                                  <w:sz w:val="24"/>
                                  <w:szCs w:val="24"/>
                                </w:rPr>
                              </w:pPr>
                              <w:r w:rsidRPr="00B23C01">
                                <w:rPr>
                                  <w:sz w:val="24"/>
                                  <w:szCs w:val="24"/>
                                </w:rPr>
                                <w:t>processes to ensure each educator, co-ordinator and staff member receives ongoing feedback about their performance</w:t>
                              </w:r>
                            </w:p>
                            <w:p w:rsidR="00A21F37" w:rsidRDefault="00B23C01" w:rsidP="00B23C01">
                              <w:pPr>
                                <w:pStyle w:val="ListParagraph"/>
                                <w:numPr>
                                  <w:ilvl w:val="0"/>
                                  <w:numId w:val="11"/>
                                </w:numPr>
                                <w:spacing w:after="0" w:line="240" w:lineRule="auto"/>
                                <w:rPr>
                                  <w:sz w:val="24"/>
                                  <w:szCs w:val="24"/>
                                </w:rPr>
                              </w:pPr>
                              <w:r w:rsidRPr="00B23C01">
                                <w:rPr>
                                  <w:sz w:val="24"/>
                                  <w:szCs w:val="24"/>
                                </w:rPr>
                                <w:t>how performance processes identify strengths and areas for developme</w:t>
                              </w:r>
                              <w:r>
                                <w:rPr>
                                  <w:sz w:val="24"/>
                                  <w:szCs w:val="24"/>
                                </w:rPr>
                                <w:t>nt, and how these are addressed</w:t>
                              </w:r>
                            </w:p>
                            <w:p w:rsidR="00B23C01" w:rsidRPr="00B23C01" w:rsidRDefault="00B23C01" w:rsidP="00B23C01">
                              <w:pPr>
                                <w:pStyle w:val="ListParagraph"/>
                                <w:numPr>
                                  <w:ilvl w:val="0"/>
                                  <w:numId w:val="11"/>
                                </w:numPr>
                                <w:spacing w:after="0" w:line="240" w:lineRule="auto"/>
                                <w:rPr>
                                  <w:sz w:val="24"/>
                                  <w:szCs w:val="24"/>
                                </w:rPr>
                              </w:pPr>
                              <w:r w:rsidRPr="00B23C01">
                                <w:rPr>
                                  <w:sz w:val="24"/>
                                  <w:szCs w:val="24"/>
                                </w:rPr>
                                <w:t>The authorised officer may sight:</w:t>
                              </w:r>
                            </w:p>
                            <w:p w:rsidR="00B23C01" w:rsidRPr="00B23C01" w:rsidRDefault="00B23C01" w:rsidP="00B23C01">
                              <w:pPr>
                                <w:pStyle w:val="ListParagraph"/>
                                <w:numPr>
                                  <w:ilvl w:val="1"/>
                                  <w:numId w:val="11"/>
                                </w:numPr>
                                <w:spacing w:after="0" w:line="240" w:lineRule="auto"/>
                                <w:rPr>
                                  <w:sz w:val="24"/>
                                  <w:szCs w:val="24"/>
                                </w:rPr>
                              </w:pPr>
                              <w:r w:rsidRPr="00B23C01">
                                <w:rPr>
                                  <w:sz w:val="24"/>
                                  <w:szCs w:val="24"/>
                                </w:rPr>
                                <w:t>documented position descriptions for educators, co-ordinators and staff members that:</w:t>
                              </w:r>
                            </w:p>
                            <w:p w:rsidR="00B23C01" w:rsidRPr="00B23C01" w:rsidRDefault="00B23C01" w:rsidP="00B23C01">
                              <w:pPr>
                                <w:pStyle w:val="ListParagraph"/>
                                <w:numPr>
                                  <w:ilvl w:val="2"/>
                                  <w:numId w:val="11"/>
                                </w:numPr>
                                <w:spacing w:after="0" w:line="240" w:lineRule="auto"/>
                                <w:rPr>
                                  <w:sz w:val="24"/>
                                  <w:szCs w:val="24"/>
                                </w:rPr>
                              </w:pPr>
                              <w:r w:rsidRPr="00B23C01">
                                <w:rPr>
                                  <w:sz w:val="24"/>
                                  <w:szCs w:val="24"/>
                                </w:rPr>
                                <w:t>clearly outline the responsibilities of the position</w:t>
                              </w:r>
                            </w:p>
                            <w:p w:rsidR="00B23C01" w:rsidRPr="00B23C01" w:rsidRDefault="00B23C01" w:rsidP="00B23C01">
                              <w:pPr>
                                <w:pStyle w:val="ListParagraph"/>
                                <w:numPr>
                                  <w:ilvl w:val="2"/>
                                  <w:numId w:val="11"/>
                                </w:numPr>
                                <w:spacing w:after="0" w:line="240" w:lineRule="auto"/>
                                <w:rPr>
                                  <w:sz w:val="24"/>
                                  <w:szCs w:val="24"/>
                                </w:rPr>
                              </w:pPr>
                              <w:r w:rsidRPr="00B23C01">
                                <w:rPr>
                                  <w:sz w:val="24"/>
                                  <w:szCs w:val="24"/>
                                </w:rPr>
                                <w:t>clearly explain the approved provider’s expectations</w:t>
                              </w:r>
                            </w:p>
                            <w:p w:rsidR="00B23C01" w:rsidRPr="00B23C01" w:rsidRDefault="00B23C01" w:rsidP="00B23C01">
                              <w:pPr>
                                <w:pStyle w:val="ListParagraph"/>
                                <w:numPr>
                                  <w:ilvl w:val="2"/>
                                  <w:numId w:val="11"/>
                                </w:numPr>
                                <w:spacing w:after="0" w:line="240" w:lineRule="auto"/>
                                <w:rPr>
                                  <w:sz w:val="24"/>
                                  <w:szCs w:val="24"/>
                                </w:rPr>
                              </w:pPr>
                              <w:r w:rsidRPr="00B23C01">
                                <w:rPr>
                                  <w:sz w:val="24"/>
                                  <w:szCs w:val="24"/>
                                </w:rPr>
                                <w:lastRenderedPageBreak/>
                                <w:t>are used as the basis for monitoring and reviewing educators’, co-ordinators’ and staff members’ performance</w:t>
                              </w:r>
                            </w:p>
                            <w:p w:rsidR="00B23C01" w:rsidRPr="00B23C01" w:rsidRDefault="00B23C01" w:rsidP="00B23C01">
                              <w:pPr>
                                <w:pStyle w:val="ListParagraph"/>
                                <w:numPr>
                                  <w:ilvl w:val="0"/>
                                  <w:numId w:val="11"/>
                                </w:numPr>
                                <w:spacing w:after="0" w:line="240" w:lineRule="auto"/>
                                <w:rPr>
                                  <w:sz w:val="24"/>
                                  <w:szCs w:val="24"/>
                                </w:rPr>
                              </w:pPr>
                              <w:r w:rsidRPr="00B23C01">
                                <w:rPr>
                                  <w:sz w:val="24"/>
                                  <w:szCs w:val="24"/>
                                </w:rPr>
                                <w:t>evidence of participation by educators, co-ordinators and staff members in professional development activities to update their knowledge and skills</w:t>
                              </w:r>
                            </w:p>
                            <w:p w:rsidR="00B23C01" w:rsidRPr="00766127" w:rsidRDefault="00B23C01" w:rsidP="00B23C01">
                              <w:pPr>
                                <w:pStyle w:val="ListParagraph"/>
                                <w:numPr>
                                  <w:ilvl w:val="0"/>
                                  <w:numId w:val="11"/>
                                </w:numPr>
                                <w:spacing w:after="0" w:line="240" w:lineRule="auto"/>
                                <w:rPr>
                                  <w:sz w:val="24"/>
                                  <w:szCs w:val="24"/>
                                </w:rPr>
                              </w:pPr>
                              <w:r w:rsidRPr="00B23C01">
                                <w:rPr>
                                  <w:sz w:val="24"/>
                                  <w:szCs w:val="24"/>
                                </w:rPr>
                                <w:t>evidence that performance reviews for all educators, co-ordinators and staff members are conducted regularly and include a process for reviewing and updating professional development plans based on an evaluation of their professional strengths, interests and goals.</w:t>
                              </w:r>
                            </w:p>
                          </w:tc>
                        </w:tr>
                      </w:tbl>
                      <w:p w:rsidR="00A21F37" w:rsidRPr="00A8039D" w:rsidRDefault="00A21F37" w:rsidP="00F60580">
                        <w:pPr>
                          <w:spacing w:after="0" w:line="240" w:lineRule="auto"/>
                          <w:rPr>
                            <w:sz w:val="24"/>
                            <w:szCs w:val="24"/>
                          </w:rPr>
                        </w:pPr>
                      </w:p>
                    </w:tc>
                  </w:tr>
                </w:tbl>
                <w:p w:rsidR="00A21F37" w:rsidRPr="00A8039D" w:rsidRDefault="00A21F37" w:rsidP="00F60580">
                  <w:pPr>
                    <w:pStyle w:val="ListParagraph"/>
                    <w:spacing w:after="0" w:line="240" w:lineRule="auto"/>
                    <w:ind w:left="1400"/>
                    <w:rPr>
                      <w:sz w:val="24"/>
                      <w:szCs w:val="24"/>
                    </w:rPr>
                  </w:pPr>
                </w:p>
              </w:tc>
            </w:tr>
          </w:tbl>
          <w:p w:rsidR="00A21F37" w:rsidRPr="00CB2CE2" w:rsidRDefault="00A21F37" w:rsidP="00F60580">
            <w:pPr>
              <w:pStyle w:val="ListParagraph"/>
              <w:spacing w:after="0" w:line="240" w:lineRule="auto"/>
              <w:ind w:left="1400"/>
              <w:rPr>
                <w:sz w:val="24"/>
                <w:szCs w:val="24"/>
              </w:rPr>
            </w:pPr>
          </w:p>
        </w:tc>
      </w:tr>
    </w:tbl>
    <w:p w:rsidR="00A21F37" w:rsidRDefault="00A21F37" w:rsidP="00F60580">
      <w:pPr>
        <w:autoSpaceDE w:val="0"/>
        <w:autoSpaceDN w:val="0"/>
        <w:adjustRightInd w:val="0"/>
        <w:spacing w:before="0" w:after="0" w:line="240" w:lineRule="auto"/>
        <w:rPr>
          <w:rFonts w:cs="Arial"/>
          <w:i/>
          <w:iCs/>
          <w:color w:val="000000"/>
          <w:sz w:val="24"/>
          <w:szCs w:val="24"/>
        </w:rPr>
      </w:pPr>
    </w:p>
    <w:p w:rsidR="00A21F37" w:rsidRPr="007F2E88" w:rsidRDefault="00A21F37" w:rsidP="00F60580">
      <w:pPr>
        <w:autoSpaceDE w:val="0"/>
        <w:autoSpaceDN w:val="0"/>
        <w:adjustRightInd w:val="0"/>
        <w:spacing w:before="0" w:line="240" w:lineRule="auto"/>
        <w:rPr>
          <w:rFonts w:cs="Arial"/>
          <w:color w:val="000000"/>
          <w:sz w:val="24"/>
          <w:szCs w:val="24"/>
        </w:rPr>
      </w:pPr>
      <w:r>
        <w:rPr>
          <w:rFonts w:cs="Arial"/>
          <w:i/>
          <w:iCs/>
          <w:color w:val="000000"/>
          <w:sz w:val="24"/>
          <w:szCs w:val="24"/>
        </w:rPr>
        <w:t>Regulatory authority’s view</w:t>
      </w:r>
    </w:p>
    <w:p w:rsidR="00B23C01" w:rsidRPr="00B23C01" w:rsidRDefault="00B23C01" w:rsidP="00B23C01">
      <w:pPr>
        <w:numPr>
          <w:ilvl w:val="0"/>
          <w:numId w:val="2"/>
        </w:numPr>
        <w:spacing w:before="0" w:after="0" w:line="240" w:lineRule="auto"/>
        <w:rPr>
          <w:rFonts w:cs="Arial"/>
          <w:color w:val="000000"/>
          <w:sz w:val="24"/>
          <w:szCs w:val="24"/>
        </w:rPr>
      </w:pPr>
      <w:r w:rsidRPr="00B23C01">
        <w:rPr>
          <w:rFonts w:cs="Arial"/>
          <w:color w:val="000000"/>
          <w:sz w:val="24"/>
          <w:szCs w:val="24"/>
        </w:rPr>
        <w:t>The final A</w:t>
      </w:r>
      <w:r w:rsidR="00357D5C">
        <w:rPr>
          <w:rFonts w:cs="Arial"/>
          <w:color w:val="000000"/>
          <w:sz w:val="24"/>
          <w:szCs w:val="24"/>
        </w:rPr>
        <w:t>ssessment and Rating Report</w:t>
      </w:r>
      <w:r w:rsidRPr="00B23C01">
        <w:rPr>
          <w:rFonts w:cs="Arial"/>
          <w:color w:val="000000"/>
          <w:sz w:val="24"/>
          <w:szCs w:val="24"/>
        </w:rPr>
        <w:t xml:space="preserve"> provides a number of examples of the service’s practice against element 7.2.2 including:</w:t>
      </w:r>
    </w:p>
    <w:p w:rsidR="00B23C01" w:rsidRPr="00B23C01" w:rsidRDefault="00B23C01" w:rsidP="00B23C01">
      <w:pPr>
        <w:numPr>
          <w:ilvl w:val="1"/>
          <w:numId w:val="3"/>
        </w:numPr>
        <w:spacing w:before="0" w:after="0" w:line="240" w:lineRule="auto"/>
        <w:rPr>
          <w:rFonts w:cs="Arial"/>
          <w:color w:val="000000"/>
          <w:sz w:val="24"/>
          <w:szCs w:val="24"/>
        </w:rPr>
      </w:pPr>
      <w:r w:rsidRPr="00B23C01">
        <w:rPr>
          <w:rFonts w:cs="Arial"/>
          <w:color w:val="000000"/>
          <w:sz w:val="24"/>
          <w:szCs w:val="24"/>
        </w:rPr>
        <w:t>The performance of educators, co-ordinators and staff members is sometimes evaluated.</w:t>
      </w:r>
    </w:p>
    <w:p w:rsidR="00B23C01" w:rsidRPr="00B23C01" w:rsidRDefault="00B23C01" w:rsidP="00B23C01">
      <w:pPr>
        <w:numPr>
          <w:ilvl w:val="2"/>
          <w:numId w:val="3"/>
        </w:numPr>
        <w:spacing w:before="0" w:after="0" w:line="240" w:lineRule="auto"/>
        <w:rPr>
          <w:rFonts w:cs="Arial"/>
          <w:color w:val="000000"/>
          <w:sz w:val="24"/>
          <w:szCs w:val="24"/>
        </w:rPr>
      </w:pPr>
      <w:r w:rsidRPr="00B23C01">
        <w:rPr>
          <w:rFonts w:cs="Arial"/>
          <w:color w:val="000000"/>
          <w:sz w:val="24"/>
          <w:szCs w:val="24"/>
        </w:rPr>
        <w:t>Permanent educators complete a yearly ‘preparation for appraisal’ form that asks them what did they perform best in, what part of your job have you performed less well and what can be done to improve your performance?</w:t>
      </w:r>
    </w:p>
    <w:p w:rsidR="00B23C01" w:rsidRPr="00B23C01" w:rsidRDefault="00B23C01" w:rsidP="00B23C01">
      <w:pPr>
        <w:numPr>
          <w:ilvl w:val="2"/>
          <w:numId w:val="3"/>
        </w:numPr>
        <w:spacing w:before="0" w:after="0" w:line="240" w:lineRule="auto"/>
        <w:rPr>
          <w:rFonts w:cs="Arial"/>
          <w:color w:val="000000"/>
          <w:sz w:val="24"/>
          <w:szCs w:val="24"/>
        </w:rPr>
      </w:pPr>
      <w:r w:rsidRPr="00B23C01">
        <w:rPr>
          <w:rFonts w:cs="Arial"/>
          <w:color w:val="000000"/>
          <w:sz w:val="24"/>
          <w:szCs w:val="24"/>
        </w:rPr>
        <w:t>The approved provider organises some professional development and encourages educators at the service to participate. For exam</w:t>
      </w:r>
      <w:r w:rsidR="00BD53DA">
        <w:rPr>
          <w:rFonts w:cs="Arial"/>
          <w:color w:val="000000"/>
          <w:sz w:val="24"/>
          <w:szCs w:val="24"/>
        </w:rPr>
        <w:t>ple, a child protection course</w:t>
      </w:r>
      <w:r w:rsidRPr="00B23C01">
        <w:rPr>
          <w:rFonts w:cs="Arial"/>
          <w:color w:val="000000"/>
          <w:sz w:val="24"/>
          <w:szCs w:val="24"/>
        </w:rPr>
        <w:t xml:space="preserve"> has been promoted at the service.</w:t>
      </w:r>
    </w:p>
    <w:p w:rsidR="00B23C01" w:rsidRPr="00B23C01" w:rsidRDefault="00B23C01" w:rsidP="00B23C01">
      <w:pPr>
        <w:spacing w:before="0" w:after="0" w:line="240" w:lineRule="auto"/>
        <w:rPr>
          <w:rFonts w:cs="Arial"/>
          <w:color w:val="000000"/>
          <w:sz w:val="24"/>
          <w:szCs w:val="24"/>
        </w:rPr>
      </w:pPr>
    </w:p>
    <w:p w:rsidR="00B23C01" w:rsidRPr="00B23C01" w:rsidRDefault="00B23C01" w:rsidP="00B23C01">
      <w:pPr>
        <w:numPr>
          <w:ilvl w:val="0"/>
          <w:numId w:val="2"/>
        </w:numPr>
        <w:spacing w:before="0" w:after="0" w:line="240" w:lineRule="auto"/>
        <w:rPr>
          <w:rFonts w:cs="Arial"/>
          <w:color w:val="000000"/>
          <w:sz w:val="24"/>
          <w:szCs w:val="24"/>
        </w:rPr>
      </w:pPr>
      <w:r w:rsidRPr="00B23C01">
        <w:rPr>
          <w:rFonts w:cs="Arial"/>
          <w:color w:val="000000"/>
          <w:sz w:val="24"/>
          <w:szCs w:val="24"/>
        </w:rPr>
        <w:t xml:space="preserve">The Final Report notes that the service did not meet this element because: </w:t>
      </w:r>
    </w:p>
    <w:p w:rsidR="00B23C01" w:rsidRPr="00B23C01" w:rsidRDefault="00B23C01" w:rsidP="00B23C01">
      <w:pPr>
        <w:numPr>
          <w:ilvl w:val="1"/>
          <w:numId w:val="3"/>
        </w:numPr>
        <w:spacing w:before="0" w:after="0" w:line="240" w:lineRule="auto"/>
        <w:rPr>
          <w:rFonts w:cs="Arial"/>
          <w:color w:val="000000"/>
          <w:sz w:val="24"/>
          <w:szCs w:val="24"/>
        </w:rPr>
      </w:pPr>
      <w:r w:rsidRPr="00B23C01">
        <w:rPr>
          <w:rFonts w:cs="Arial"/>
          <w:color w:val="000000"/>
          <w:sz w:val="24"/>
          <w:szCs w:val="24"/>
        </w:rPr>
        <w:t>While the approved provider has developed an operations manual that describes a staff review and appraisal process, educators at the service have not participated in this process.</w:t>
      </w:r>
    </w:p>
    <w:p w:rsidR="00B23C01" w:rsidRPr="00B23C01" w:rsidRDefault="00B23C01" w:rsidP="00B23C01">
      <w:pPr>
        <w:numPr>
          <w:ilvl w:val="1"/>
          <w:numId w:val="3"/>
        </w:numPr>
        <w:spacing w:before="0" w:after="0" w:line="240" w:lineRule="auto"/>
        <w:rPr>
          <w:rFonts w:cs="Arial"/>
          <w:color w:val="000000"/>
          <w:sz w:val="24"/>
          <w:szCs w:val="24"/>
        </w:rPr>
      </w:pPr>
      <w:r w:rsidRPr="00B23C01">
        <w:rPr>
          <w:rFonts w:cs="Arial"/>
          <w:color w:val="000000"/>
          <w:sz w:val="24"/>
          <w:szCs w:val="24"/>
        </w:rPr>
        <w:t>While the employee handbook promotes a staff appraisal scheme, there is no evidence of individual appraisals being conducted for educators at the service.</w:t>
      </w:r>
    </w:p>
    <w:p w:rsidR="00B23C01" w:rsidRPr="00B23C01" w:rsidRDefault="00B23C01" w:rsidP="00B23C01">
      <w:pPr>
        <w:numPr>
          <w:ilvl w:val="1"/>
          <w:numId w:val="3"/>
        </w:numPr>
        <w:spacing w:before="0" w:after="0" w:line="240" w:lineRule="auto"/>
        <w:rPr>
          <w:rFonts w:cs="Arial"/>
          <w:color w:val="000000"/>
          <w:sz w:val="24"/>
          <w:szCs w:val="24"/>
        </w:rPr>
      </w:pPr>
      <w:r w:rsidRPr="00B23C01">
        <w:rPr>
          <w:rFonts w:cs="Arial"/>
          <w:color w:val="000000"/>
          <w:sz w:val="24"/>
          <w:szCs w:val="24"/>
        </w:rPr>
        <w:t>A process of assessing educators’ ‘preparation for appraisal’ form is not followed by a documented performance review or to develop individual goals for educators at the service.</w:t>
      </w:r>
    </w:p>
    <w:p w:rsidR="00B23C01" w:rsidRPr="00B23C01" w:rsidRDefault="00B23C01" w:rsidP="00B23C01">
      <w:pPr>
        <w:numPr>
          <w:ilvl w:val="1"/>
          <w:numId w:val="3"/>
        </w:numPr>
        <w:spacing w:before="0" w:after="0" w:line="240" w:lineRule="auto"/>
        <w:rPr>
          <w:rFonts w:cs="Arial"/>
          <w:color w:val="000000"/>
          <w:sz w:val="24"/>
          <w:szCs w:val="24"/>
        </w:rPr>
      </w:pPr>
      <w:r w:rsidRPr="00B23C01">
        <w:rPr>
          <w:rFonts w:cs="Arial"/>
          <w:color w:val="000000"/>
          <w:sz w:val="24"/>
          <w:szCs w:val="24"/>
        </w:rPr>
        <w:t>Plans have not been developed and reviewed for individual educators based on their professional strengths, interests and goals.</w:t>
      </w:r>
    </w:p>
    <w:p w:rsidR="00B23C01" w:rsidRPr="00B23C01" w:rsidRDefault="00B23C01" w:rsidP="00B23C01">
      <w:pPr>
        <w:spacing w:before="0" w:after="0" w:line="240" w:lineRule="auto"/>
        <w:rPr>
          <w:rFonts w:cs="Arial"/>
          <w:color w:val="000000"/>
          <w:sz w:val="24"/>
          <w:szCs w:val="24"/>
        </w:rPr>
      </w:pPr>
    </w:p>
    <w:p w:rsidR="00B23C01" w:rsidRDefault="00B23C01" w:rsidP="00B23C01">
      <w:pPr>
        <w:pStyle w:val="ListParagraph"/>
        <w:numPr>
          <w:ilvl w:val="0"/>
          <w:numId w:val="2"/>
        </w:numPr>
        <w:spacing w:before="0" w:after="0" w:line="240" w:lineRule="auto"/>
        <w:rPr>
          <w:rFonts w:cs="Arial"/>
          <w:color w:val="000000"/>
          <w:sz w:val="24"/>
          <w:szCs w:val="24"/>
        </w:rPr>
      </w:pPr>
      <w:r w:rsidRPr="00B23C01">
        <w:rPr>
          <w:rFonts w:cs="Arial"/>
          <w:color w:val="000000"/>
          <w:sz w:val="24"/>
          <w:szCs w:val="24"/>
        </w:rPr>
        <w:t>The Final Report notes that the approved provider submitted additional information after receiving the draft report, that the additional information had been assessed and added into the report but did not contribute to a higher rating for the standard.</w:t>
      </w:r>
      <w:r>
        <w:rPr>
          <w:rFonts w:cs="Arial"/>
          <w:color w:val="000000"/>
          <w:sz w:val="24"/>
          <w:szCs w:val="24"/>
        </w:rPr>
        <w:br/>
      </w:r>
    </w:p>
    <w:p w:rsidR="00357D5C" w:rsidRDefault="00B23C01" w:rsidP="00B23C01">
      <w:pPr>
        <w:pStyle w:val="ListParagraph"/>
        <w:numPr>
          <w:ilvl w:val="0"/>
          <w:numId w:val="2"/>
        </w:numPr>
        <w:spacing w:before="0" w:after="0" w:line="240" w:lineRule="auto"/>
        <w:rPr>
          <w:sz w:val="24"/>
          <w:szCs w:val="24"/>
        </w:rPr>
      </w:pPr>
      <w:r>
        <w:rPr>
          <w:sz w:val="24"/>
          <w:szCs w:val="24"/>
        </w:rPr>
        <w:t xml:space="preserve">In its decision at first tier review, the regulatory authority noted that information submitted by the provider and in the Final Report did not identify how </w:t>
      </w:r>
      <w:r>
        <w:rPr>
          <w:sz w:val="24"/>
          <w:szCs w:val="24"/>
        </w:rPr>
        <w:lastRenderedPageBreak/>
        <w:t>educators at the service participate in the review and appraisals process or how performance review or individual goal development is documented. Further, the regulatory authority noted that no evidence was submitted of appraisals or reviews for any educators at the service.</w:t>
      </w:r>
    </w:p>
    <w:p w:rsidR="00357D5C" w:rsidRDefault="00357D5C" w:rsidP="00357D5C">
      <w:pPr>
        <w:pStyle w:val="ListParagraph"/>
        <w:spacing w:before="0" w:after="0" w:line="240" w:lineRule="auto"/>
        <w:ind w:left="680"/>
        <w:rPr>
          <w:sz w:val="24"/>
          <w:szCs w:val="24"/>
        </w:rPr>
      </w:pPr>
    </w:p>
    <w:p w:rsidR="00A21F37" w:rsidRPr="00357D5C" w:rsidRDefault="00357D5C" w:rsidP="00357D5C">
      <w:pPr>
        <w:pStyle w:val="ListParagraph"/>
        <w:numPr>
          <w:ilvl w:val="0"/>
          <w:numId w:val="2"/>
        </w:numPr>
        <w:spacing w:line="240" w:lineRule="auto"/>
        <w:rPr>
          <w:rFonts w:cs="Arial"/>
          <w:sz w:val="24"/>
          <w:szCs w:val="24"/>
        </w:rPr>
      </w:pPr>
      <w:r w:rsidRPr="004A185E">
        <w:rPr>
          <w:rFonts w:cs="Arial"/>
          <w:sz w:val="24"/>
          <w:szCs w:val="24"/>
        </w:rPr>
        <w:t xml:space="preserve">The regulatory authority notes in its submission that the provider applied for first tier review on the grounds that it had received a rating of Meeting NQS for standard 7.2 for another service that had the same information for Quality Area 7 as </w:t>
      </w:r>
      <w:r w:rsidR="00BD53DA">
        <w:rPr>
          <w:rFonts w:cs="Arial"/>
          <w:sz w:val="24"/>
          <w:szCs w:val="24"/>
        </w:rPr>
        <w:t>this service</w:t>
      </w:r>
      <w:r w:rsidRPr="004A185E">
        <w:rPr>
          <w:rFonts w:cs="Arial"/>
          <w:sz w:val="24"/>
          <w:szCs w:val="24"/>
        </w:rPr>
        <w:t>.</w:t>
      </w:r>
      <w:r w:rsidR="00B23C01" w:rsidRPr="00357D5C">
        <w:rPr>
          <w:rFonts w:cs="Arial"/>
          <w:color w:val="000000"/>
          <w:sz w:val="24"/>
          <w:szCs w:val="24"/>
        </w:rPr>
        <w:br/>
      </w:r>
    </w:p>
    <w:p w:rsidR="00A21F37" w:rsidRPr="00C3341C" w:rsidRDefault="00A21F37" w:rsidP="00F60580">
      <w:pPr>
        <w:spacing w:before="0" w:after="0" w:line="240" w:lineRule="auto"/>
        <w:rPr>
          <w:i/>
          <w:sz w:val="24"/>
          <w:szCs w:val="24"/>
        </w:rPr>
      </w:pPr>
      <w:r w:rsidRPr="00357D5C">
        <w:rPr>
          <w:i/>
          <w:sz w:val="24"/>
          <w:szCs w:val="24"/>
        </w:rPr>
        <w:t>Applicant’s view</w:t>
      </w:r>
    </w:p>
    <w:p w:rsidR="004A185E" w:rsidRPr="004A185E" w:rsidRDefault="004A185E" w:rsidP="004A185E">
      <w:pPr>
        <w:pStyle w:val="ListParagraph"/>
        <w:numPr>
          <w:ilvl w:val="0"/>
          <w:numId w:val="2"/>
        </w:numPr>
        <w:spacing w:line="240" w:lineRule="auto"/>
        <w:rPr>
          <w:rFonts w:cs="Arial"/>
          <w:sz w:val="24"/>
          <w:szCs w:val="24"/>
        </w:rPr>
      </w:pPr>
      <w:r w:rsidRPr="004A185E">
        <w:rPr>
          <w:rFonts w:cs="Arial"/>
          <w:sz w:val="24"/>
          <w:szCs w:val="24"/>
        </w:rPr>
        <w:t>In its application</w:t>
      </w:r>
      <w:r w:rsidR="00357D5C">
        <w:rPr>
          <w:rFonts w:cs="Arial"/>
          <w:sz w:val="24"/>
          <w:szCs w:val="24"/>
        </w:rPr>
        <w:t xml:space="preserve"> at first tier review</w:t>
      </w:r>
      <w:r w:rsidRPr="004A185E">
        <w:rPr>
          <w:rFonts w:cs="Arial"/>
          <w:sz w:val="24"/>
          <w:szCs w:val="24"/>
        </w:rPr>
        <w:t xml:space="preserve">, the provider noted that ‘we only currently have one permanent staff member [nominated supervisor] at </w:t>
      </w:r>
      <w:r w:rsidR="00BD53DA">
        <w:rPr>
          <w:rFonts w:cs="Arial"/>
          <w:sz w:val="24"/>
          <w:szCs w:val="24"/>
        </w:rPr>
        <w:t>the service</w:t>
      </w:r>
      <w:r w:rsidRPr="004A185E">
        <w:rPr>
          <w:rFonts w:cs="Arial"/>
          <w:sz w:val="24"/>
          <w:szCs w:val="24"/>
        </w:rPr>
        <w:t xml:space="preserve">. Her review is due next February as her first appraisal was on the 16th February this year’. </w:t>
      </w:r>
    </w:p>
    <w:p w:rsidR="004A185E" w:rsidRPr="004A185E" w:rsidRDefault="004A185E" w:rsidP="004A185E">
      <w:pPr>
        <w:pStyle w:val="ListParagraph"/>
        <w:spacing w:line="240" w:lineRule="auto"/>
        <w:ind w:left="680"/>
        <w:rPr>
          <w:rFonts w:cs="Arial"/>
          <w:sz w:val="24"/>
          <w:szCs w:val="24"/>
        </w:rPr>
      </w:pPr>
    </w:p>
    <w:p w:rsidR="004A185E" w:rsidRPr="00357D5C" w:rsidRDefault="004A185E" w:rsidP="00357D5C">
      <w:pPr>
        <w:pStyle w:val="ListParagraph"/>
        <w:numPr>
          <w:ilvl w:val="0"/>
          <w:numId w:val="2"/>
        </w:numPr>
        <w:spacing w:line="240" w:lineRule="auto"/>
        <w:rPr>
          <w:rFonts w:cs="Arial"/>
          <w:sz w:val="24"/>
          <w:szCs w:val="24"/>
        </w:rPr>
      </w:pPr>
      <w:r w:rsidRPr="004A185E">
        <w:rPr>
          <w:rFonts w:cs="Arial"/>
          <w:sz w:val="24"/>
          <w:szCs w:val="24"/>
        </w:rPr>
        <w:t>The provider noted that staff meet with management each fortnight to discuss service, staff or individual needs and about how the service and staff are performing, and minutes of these meetings are taken.</w:t>
      </w:r>
      <w:r>
        <w:rPr>
          <w:rFonts w:cs="Arial"/>
          <w:sz w:val="24"/>
          <w:szCs w:val="24"/>
        </w:rPr>
        <w:br/>
      </w:r>
    </w:p>
    <w:p w:rsidR="004A185E" w:rsidRPr="004A185E" w:rsidRDefault="004A185E" w:rsidP="004A185E">
      <w:pPr>
        <w:pStyle w:val="ListParagraph"/>
        <w:numPr>
          <w:ilvl w:val="0"/>
          <w:numId w:val="2"/>
        </w:numPr>
        <w:rPr>
          <w:rFonts w:cs="Arial"/>
          <w:sz w:val="24"/>
          <w:szCs w:val="24"/>
        </w:rPr>
      </w:pPr>
      <w:r w:rsidRPr="004A185E">
        <w:rPr>
          <w:rFonts w:cs="Arial"/>
          <w:sz w:val="24"/>
          <w:szCs w:val="24"/>
        </w:rPr>
        <w:t xml:space="preserve">The provider advises that its policy is to review staff performance initially after 3 months, and then on a yearly basis. </w:t>
      </w:r>
    </w:p>
    <w:p w:rsidR="004A185E" w:rsidRPr="004A185E" w:rsidRDefault="004A185E" w:rsidP="00357D5C">
      <w:pPr>
        <w:pStyle w:val="ListParagraph"/>
        <w:ind w:left="680"/>
        <w:rPr>
          <w:rFonts w:cs="Arial"/>
          <w:sz w:val="24"/>
          <w:szCs w:val="24"/>
        </w:rPr>
      </w:pPr>
    </w:p>
    <w:p w:rsidR="004A185E" w:rsidRPr="004A185E" w:rsidRDefault="004A185E" w:rsidP="004A185E">
      <w:pPr>
        <w:pStyle w:val="ListParagraph"/>
        <w:numPr>
          <w:ilvl w:val="0"/>
          <w:numId w:val="2"/>
        </w:numPr>
        <w:rPr>
          <w:rFonts w:cs="Arial"/>
          <w:sz w:val="24"/>
          <w:szCs w:val="24"/>
        </w:rPr>
      </w:pPr>
      <w:r w:rsidRPr="004A185E">
        <w:rPr>
          <w:rFonts w:cs="Arial"/>
          <w:sz w:val="24"/>
          <w:szCs w:val="24"/>
        </w:rPr>
        <w:t xml:space="preserve">The provider notes that the nominated supervisor and co-ordinator for the service has been employed since the start of term 1 2015 and her 3 month review was to be in May 2015, as per the service’s policy. However, there were special circumstances that meant the nominated supervisor/co-ordinator’s review had been delayed because of health issues she had been having. </w:t>
      </w:r>
    </w:p>
    <w:p w:rsidR="004A185E" w:rsidRPr="004A185E" w:rsidRDefault="004A185E" w:rsidP="00357D5C">
      <w:pPr>
        <w:pStyle w:val="ListParagraph"/>
        <w:ind w:left="680"/>
        <w:rPr>
          <w:rFonts w:cs="Arial"/>
          <w:sz w:val="24"/>
          <w:szCs w:val="24"/>
        </w:rPr>
      </w:pPr>
    </w:p>
    <w:p w:rsidR="004A185E" w:rsidRPr="004A185E" w:rsidRDefault="004A185E" w:rsidP="004A185E">
      <w:pPr>
        <w:pStyle w:val="ListParagraph"/>
        <w:numPr>
          <w:ilvl w:val="0"/>
          <w:numId w:val="2"/>
        </w:numPr>
        <w:rPr>
          <w:rFonts w:cs="Arial"/>
          <w:sz w:val="24"/>
          <w:szCs w:val="24"/>
        </w:rPr>
      </w:pPr>
      <w:r w:rsidRPr="004A185E">
        <w:rPr>
          <w:rFonts w:cs="Arial"/>
          <w:sz w:val="24"/>
          <w:szCs w:val="24"/>
        </w:rPr>
        <w:t xml:space="preserve">A co-ordinator from another of the provider’s services attends </w:t>
      </w:r>
      <w:r w:rsidR="00BD53DA">
        <w:rPr>
          <w:rFonts w:cs="Arial"/>
          <w:sz w:val="24"/>
          <w:szCs w:val="24"/>
        </w:rPr>
        <w:t>the service</w:t>
      </w:r>
      <w:r w:rsidRPr="004A185E">
        <w:rPr>
          <w:rFonts w:cs="Arial"/>
          <w:sz w:val="24"/>
          <w:szCs w:val="24"/>
        </w:rPr>
        <w:t xml:space="preserve"> one day a week to gain experience running a smaller service. </w:t>
      </w:r>
      <w:r w:rsidR="00357D5C">
        <w:rPr>
          <w:rFonts w:cs="Arial"/>
          <w:sz w:val="24"/>
          <w:szCs w:val="24"/>
        </w:rPr>
        <w:t xml:space="preserve">The </w:t>
      </w:r>
      <w:r w:rsidR="005B1BD9">
        <w:rPr>
          <w:rFonts w:cs="Arial"/>
          <w:sz w:val="24"/>
          <w:szCs w:val="24"/>
        </w:rPr>
        <w:t xml:space="preserve">provider </w:t>
      </w:r>
      <w:r w:rsidR="00357D5C">
        <w:rPr>
          <w:rFonts w:cs="Arial"/>
          <w:sz w:val="24"/>
          <w:szCs w:val="24"/>
        </w:rPr>
        <w:t>submitted t</w:t>
      </w:r>
      <w:r w:rsidRPr="004A185E">
        <w:rPr>
          <w:rFonts w:cs="Arial"/>
          <w:sz w:val="24"/>
          <w:szCs w:val="24"/>
        </w:rPr>
        <w:t>his staff member’s appraisa</w:t>
      </w:r>
      <w:r w:rsidR="00357D5C">
        <w:rPr>
          <w:rFonts w:cs="Arial"/>
          <w:sz w:val="24"/>
          <w:szCs w:val="24"/>
        </w:rPr>
        <w:t>l</w:t>
      </w:r>
      <w:r w:rsidRPr="004A185E">
        <w:rPr>
          <w:rFonts w:cs="Arial"/>
          <w:sz w:val="24"/>
          <w:szCs w:val="24"/>
        </w:rPr>
        <w:t>.</w:t>
      </w:r>
    </w:p>
    <w:p w:rsidR="004A185E" w:rsidRPr="004A185E" w:rsidRDefault="004A185E" w:rsidP="00357D5C">
      <w:pPr>
        <w:pStyle w:val="ListParagraph"/>
        <w:ind w:left="680"/>
        <w:rPr>
          <w:rFonts w:cs="Arial"/>
          <w:sz w:val="24"/>
          <w:szCs w:val="24"/>
        </w:rPr>
      </w:pPr>
    </w:p>
    <w:p w:rsidR="004A185E" w:rsidRPr="004A185E" w:rsidRDefault="004A185E" w:rsidP="004A185E">
      <w:pPr>
        <w:pStyle w:val="ListParagraph"/>
        <w:numPr>
          <w:ilvl w:val="0"/>
          <w:numId w:val="2"/>
        </w:numPr>
        <w:rPr>
          <w:rFonts w:cs="Arial"/>
          <w:sz w:val="24"/>
          <w:szCs w:val="24"/>
        </w:rPr>
      </w:pPr>
      <w:r w:rsidRPr="004A185E">
        <w:rPr>
          <w:rFonts w:cs="Arial"/>
          <w:sz w:val="24"/>
          <w:szCs w:val="24"/>
        </w:rPr>
        <w:t>The provider submitted templates it uses for staff appraisals, supervisor meeting minutes, policies and its staff handbook as feedback to the assessment and rating report</w:t>
      </w:r>
      <w:r w:rsidR="00357D5C">
        <w:rPr>
          <w:rFonts w:cs="Arial"/>
          <w:sz w:val="24"/>
          <w:szCs w:val="24"/>
        </w:rPr>
        <w:t>.</w:t>
      </w:r>
      <w:r w:rsidRPr="004A185E">
        <w:rPr>
          <w:rFonts w:cs="Arial"/>
          <w:sz w:val="24"/>
          <w:szCs w:val="24"/>
        </w:rPr>
        <w:t xml:space="preserve"> </w:t>
      </w:r>
    </w:p>
    <w:p w:rsidR="004A185E" w:rsidRPr="004A185E" w:rsidRDefault="004A185E" w:rsidP="00357D5C">
      <w:pPr>
        <w:pStyle w:val="ListParagraph"/>
        <w:ind w:left="680"/>
        <w:rPr>
          <w:rFonts w:cs="Arial"/>
          <w:sz w:val="24"/>
          <w:szCs w:val="24"/>
        </w:rPr>
      </w:pPr>
    </w:p>
    <w:p w:rsidR="004A185E" w:rsidRPr="004A185E" w:rsidRDefault="004A185E" w:rsidP="004A185E">
      <w:pPr>
        <w:pStyle w:val="ListParagraph"/>
        <w:numPr>
          <w:ilvl w:val="0"/>
          <w:numId w:val="2"/>
        </w:numPr>
        <w:rPr>
          <w:rFonts w:cs="Arial"/>
          <w:sz w:val="24"/>
          <w:szCs w:val="24"/>
        </w:rPr>
      </w:pPr>
      <w:r w:rsidRPr="004A185E">
        <w:rPr>
          <w:rFonts w:cs="Arial"/>
          <w:sz w:val="24"/>
          <w:szCs w:val="24"/>
        </w:rPr>
        <w:t xml:space="preserve">In response to the regulatory authority’s submission that the service ‘could not provide evidence of any past appraisals for previous staff members’, the provider notes that it was only asked to provide review and appraisal documents for her current nominated supervisor. She also notes that she was </w:t>
      </w:r>
      <w:r w:rsidRPr="004A185E">
        <w:rPr>
          <w:rFonts w:cs="Arial"/>
          <w:sz w:val="24"/>
          <w:szCs w:val="24"/>
        </w:rPr>
        <w:lastRenderedPageBreak/>
        <w:t>not aware of being asked to provide past appraisals, which she could have provided.</w:t>
      </w:r>
    </w:p>
    <w:p w:rsidR="004A185E" w:rsidRPr="004A185E" w:rsidRDefault="004A185E" w:rsidP="00357D5C">
      <w:pPr>
        <w:pStyle w:val="ListParagraph"/>
        <w:ind w:left="680"/>
        <w:rPr>
          <w:rFonts w:cs="Arial"/>
          <w:sz w:val="24"/>
          <w:szCs w:val="24"/>
        </w:rPr>
      </w:pPr>
    </w:p>
    <w:p w:rsidR="004A185E" w:rsidRPr="004A185E" w:rsidRDefault="004A185E" w:rsidP="004A185E">
      <w:pPr>
        <w:pStyle w:val="ListParagraph"/>
        <w:numPr>
          <w:ilvl w:val="0"/>
          <w:numId w:val="2"/>
        </w:numPr>
        <w:rPr>
          <w:rFonts w:cs="Arial"/>
          <w:sz w:val="24"/>
          <w:szCs w:val="24"/>
        </w:rPr>
      </w:pPr>
      <w:r w:rsidRPr="004A185E">
        <w:rPr>
          <w:rFonts w:cs="Arial"/>
          <w:sz w:val="24"/>
          <w:szCs w:val="24"/>
        </w:rPr>
        <w:t>The provider provided evidence of a previous nominated supervisor’s performance appraisal.</w:t>
      </w:r>
    </w:p>
    <w:p w:rsidR="004A185E" w:rsidRPr="004A185E" w:rsidRDefault="004A185E" w:rsidP="00357D5C">
      <w:pPr>
        <w:pStyle w:val="ListParagraph"/>
        <w:spacing w:line="240" w:lineRule="auto"/>
        <w:ind w:left="680"/>
        <w:rPr>
          <w:rFonts w:cs="Arial"/>
          <w:sz w:val="24"/>
          <w:szCs w:val="24"/>
        </w:rPr>
      </w:pPr>
    </w:p>
    <w:p w:rsidR="004A185E" w:rsidRPr="004A185E" w:rsidRDefault="00BD53DA" w:rsidP="004A185E">
      <w:pPr>
        <w:pStyle w:val="ListParagraph"/>
        <w:numPr>
          <w:ilvl w:val="0"/>
          <w:numId w:val="2"/>
        </w:numPr>
        <w:rPr>
          <w:rFonts w:cs="Arial"/>
          <w:sz w:val="24"/>
          <w:szCs w:val="24"/>
        </w:rPr>
      </w:pPr>
      <w:r>
        <w:rPr>
          <w:rFonts w:cs="Arial"/>
          <w:sz w:val="24"/>
          <w:szCs w:val="24"/>
        </w:rPr>
        <w:t>The service</w:t>
      </w:r>
      <w:r w:rsidR="004A185E" w:rsidRPr="004A185E">
        <w:rPr>
          <w:rFonts w:cs="Arial"/>
          <w:sz w:val="24"/>
          <w:szCs w:val="24"/>
        </w:rPr>
        <w:t xml:space="preserve"> has one permanent staff member, the nominated supervisor, as well as another staff member who works regularly. Other staff members are casually employed. The current nominated supervisor’s performance meeting minutes </w:t>
      </w:r>
      <w:r w:rsidR="00357D5C">
        <w:rPr>
          <w:rFonts w:cs="Arial"/>
          <w:sz w:val="24"/>
          <w:szCs w:val="24"/>
        </w:rPr>
        <w:t>were provided</w:t>
      </w:r>
      <w:r w:rsidR="004A185E" w:rsidRPr="004A185E">
        <w:rPr>
          <w:rFonts w:cs="Arial"/>
          <w:sz w:val="24"/>
          <w:szCs w:val="24"/>
        </w:rPr>
        <w:t>. The provider notes these show evaluation of the current nominated supervisor’s performance.</w:t>
      </w:r>
    </w:p>
    <w:p w:rsidR="004A185E" w:rsidRPr="004A185E" w:rsidRDefault="004A185E" w:rsidP="00357D5C">
      <w:pPr>
        <w:pStyle w:val="ListParagraph"/>
        <w:spacing w:line="240" w:lineRule="auto"/>
        <w:ind w:left="680"/>
        <w:rPr>
          <w:rFonts w:cs="Arial"/>
          <w:sz w:val="24"/>
          <w:szCs w:val="24"/>
        </w:rPr>
      </w:pPr>
    </w:p>
    <w:p w:rsidR="00A21F37" w:rsidRPr="00CC1060" w:rsidRDefault="004A185E" w:rsidP="004A185E">
      <w:pPr>
        <w:pStyle w:val="ListParagraph"/>
        <w:numPr>
          <w:ilvl w:val="0"/>
          <w:numId w:val="2"/>
        </w:numPr>
        <w:spacing w:line="240" w:lineRule="auto"/>
        <w:rPr>
          <w:rFonts w:cs="Arial"/>
          <w:sz w:val="24"/>
          <w:szCs w:val="24"/>
        </w:rPr>
      </w:pPr>
      <w:r w:rsidRPr="004A185E">
        <w:rPr>
          <w:rFonts w:cs="Arial"/>
          <w:sz w:val="24"/>
          <w:szCs w:val="24"/>
        </w:rPr>
        <w:t xml:space="preserve">Meeting minutes held between the provider and the supervisor </w:t>
      </w:r>
      <w:r w:rsidR="00357D5C">
        <w:rPr>
          <w:rFonts w:cs="Arial"/>
          <w:sz w:val="24"/>
          <w:szCs w:val="24"/>
        </w:rPr>
        <w:t>were provided</w:t>
      </w:r>
      <w:r w:rsidRPr="004A185E">
        <w:rPr>
          <w:rFonts w:cs="Arial"/>
          <w:sz w:val="24"/>
          <w:szCs w:val="24"/>
        </w:rPr>
        <w:t>. The provider notes these include information to support staff performance improvement.</w:t>
      </w:r>
    </w:p>
    <w:p w:rsidR="00EA278B" w:rsidRDefault="00EA278B" w:rsidP="00F60580">
      <w:pPr>
        <w:autoSpaceDE w:val="0"/>
        <w:autoSpaceDN w:val="0"/>
        <w:adjustRightInd w:val="0"/>
        <w:spacing w:before="0" w:after="0" w:line="240" w:lineRule="auto"/>
        <w:rPr>
          <w:rFonts w:eastAsia="Batang"/>
          <w:sz w:val="24"/>
          <w:szCs w:val="20"/>
          <w:lang w:eastAsia="ko-KR"/>
        </w:rPr>
      </w:pPr>
    </w:p>
    <w:p w:rsidR="00B445B3" w:rsidRDefault="00B445B3" w:rsidP="00F60580">
      <w:pPr>
        <w:autoSpaceDE w:val="0"/>
        <w:autoSpaceDN w:val="0"/>
        <w:adjustRightInd w:val="0"/>
        <w:spacing w:before="0" w:after="0" w:line="240" w:lineRule="auto"/>
        <w:rPr>
          <w:rFonts w:eastAsia="Batang"/>
          <w:i/>
          <w:sz w:val="24"/>
          <w:szCs w:val="20"/>
          <w:lang w:eastAsia="ko-KR"/>
        </w:rPr>
      </w:pPr>
      <w:r>
        <w:rPr>
          <w:rFonts w:eastAsia="Batang"/>
          <w:i/>
          <w:sz w:val="24"/>
          <w:szCs w:val="20"/>
          <w:lang w:eastAsia="ko-KR"/>
        </w:rPr>
        <w:t>Panel’s consideration</w:t>
      </w:r>
    </w:p>
    <w:p w:rsidR="008B0492" w:rsidRDefault="008B0492" w:rsidP="008B0492">
      <w:pPr>
        <w:pStyle w:val="BodyText"/>
        <w:numPr>
          <w:ilvl w:val="0"/>
          <w:numId w:val="2"/>
        </w:numPr>
        <w:spacing w:before="240" w:after="0"/>
      </w:pPr>
      <w:r>
        <w:t>The Panel noted the information and evidence provided by the regulatory authority and the provider to the second tier review.</w:t>
      </w:r>
    </w:p>
    <w:p w:rsidR="008B0492" w:rsidRDefault="008B0492" w:rsidP="008B0492">
      <w:pPr>
        <w:pStyle w:val="BodyText"/>
        <w:numPr>
          <w:ilvl w:val="0"/>
          <w:numId w:val="2"/>
        </w:numPr>
        <w:spacing w:before="240" w:after="0"/>
      </w:pPr>
      <w:r>
        <w:t>The Panel discussed the provider’s contention at first tier review that the same information was provided under element 7.2.2 at another of its services which contributed to a determination of met. The Panel noted that this did not necessarily mean the element would be met in the service in question, as the policies and procedures were not necessarily implemented in the same way. The Panel noted its role was to determine the rating level for the service under review.</w:t>
      </w:r>
    </w:p>
    <w:p w:rsidR="008B0492" w:rsidRDefault="008B0492" w:rsidP="008B0492">
      <w:pPr>
        <w:pStyle w:val="BodyText"/>
        <w:numPr>
          <w:ilvl w:val="0"/>
          <w:numId w:val="2"/>
        </w:numPr>
        <w:spacing w:before="240" w:after="0"/>
      </w:pPr>
      <w:r>
        <w:t>The Panel discussed that in the staff review and appraisal policy provided there was no differentiation between review and appraisal for casual and permanent staff and questioned whether the service was following its policy for all staff members.</w:t>
      </w:r>
    </w:p>
    <w:p w:rsidR="008B0492" w:rsidRDefault="008B0492" w:rsidP="008B0492">
      <w:pPr>
        <w:pStyle w:val="BodyText"/>
        <w:numPr>
          <w:ilvl w:val="0"/>
          <w:numId w:val="2"/>
        </w:numPr>
        <w:spacing w:before="240" w:after="0"/>
      </w:pPr>
      <w:r>
        <w:t>The Panel noted that the service should review and appraise all staff to ensure its practice was consistent with its policy.</w:t>
      </w:r>
    </w:p>
    <w:p w:rsidR="008B0492" w:rsidRDefault="008B0492" w:rsidP="008B0492">
      <w:pPr>
        <w:pStyle w:val="BodyText"/>
        <w:numPr>
          <w:ilvl w:val="0"/>
          <w:numId w:val="2"/>
        </w:numPr>
        <w:spacing w:before="240" w:after="0"/>
      </w:pPr>
      <w:r>
        <w:t xml:space="preserve">The Panel noted that the submissions </w:t>
      </w:r>
      <w:r w:rsidR="005B1BD9">
        <w:t xml:space="preserve">indicate that </w:t>
      </w:r>
      <w:r>
        <w:t>performance is sometimes being evaluated. The Panel noted that there are not performance appraisals for all staff.</w:t>
      </w:r>
    </w:p>
    <w:p w:rsidR="008B0492" w:rsidRDefault="008B0492" w:rsidP="008B0492">
      <w:pPr>
        <w:pStyle w:val="BodyText"/>
        <w:numPr>
          <w:ilvl w:val="0"/>
          <w:numId w:val="2"/>
        </w:numPr>
        <w:spacing w:before="240" w:after="0"/>
      </w:pPr>
      <w:r>
        <w:t xml:space="preserve">The Panel noted that while it accepted that there were special circumstances which resulted in the service’s permanent staff member’s review not being completed in May, the assessment and rating visit occurred in late July. The Panel noted that there was time to either complete the review, or to have evidence of having reviewed the performance of other staff. </w:t>
      </w:r>
    </w:p>
    <w:p w:rsidR="008B0492" w:rsidRDefault="008B0492" w:rsidP="008B0492">
      <w:pPr>
        <w:pStyle w:val="BodyText"/>
        <w:numPr>
          <w:ilvl w:val="0"/>
          <w:numId w:val="2"/>
        </w:numPr>
        <w:spacing w:before="240" w:after="0"/>
      </w:pPr>
      <w:r>
        <w:lastRenderedPageBreak/>
        <w:t>The Panel discussed that regardless of whether there were special circumstances, the submissions from the provider did not demonstrate practice that would be meeting the element.</w:t>
      </w:r>
    </w:p>
    <w:p w:rsidR="008B0492" w:rsidRDefault="008B0492" w:rsidP="008B0492">
      <w:pPr>
        <w:pStyle w:val="BodyText"/>
        <w:numPr>
          <w:ilvl w:val="0"/>
          <w:numId w:val="2"/>
        </w:numPr>
        <w:spacing w:before="240" w:after="0"/>
      </w:pPr>
      <w:r>
        <w:t>The Panel noted that a staff appraisal of a staff member who works at the service once a week was included. The Panel noted that this review was completed in July 2014 but no new review or evidence of lead up to the next annual review was submitted by the provider.</w:t>
      </w:r>
    </w:p>
    <w:p w:rsidR="008B0492" w:rsidRDefault="008B0492" w:rsidP="008B0492">
      <w:pPr>
        <w:pStyle w:val="BodyText"/>
        <w:numPr>
          <w:ilvl w:val="0"/>
          <w:numId w:val="2"/>
        </w:numPr>
        <w:spacing w:before="240" w:after="0"/>
      </w:pPr>
      <w:r>
        <w:t>The Panel noted the provider’s concerns it was not asked for certain documents at the assessment and rating visit. The Panel noted the provider had the opportunity to supply these documents at second tier review and that ACECQA had requested all relevant documents from the provider for the Panel to consider. The Panel noted that it can only deliberate on documents that are available.</w:t>
      </w:r>
    </w:p>
    <w:p w:rsidR="008B0492" w:rsidRDefault="008B0492" w:rsidP="008B0492">
      <w:pPr>
        <w:pStyle w:val="BodyText"/>
        <w:numPr>
          <w:ilvl w:val="0"/>
          <w:numId w:val="2"/>
        </w:numPr>
        <w:spacing w:before="240" w:after="0"/>
      </w:pPr>
      <w:r>
        <w:t xml:space="preserve">The Panel noted that element 7.2.2 </w:t>
      </w:r>
      <w:r w:rsidR="00325B19">
        <w:t xml:space="preserve">requires </w:t>
      </w:r>
      <w:r>
        <w:t xml:space="preserve">performance evaluation and individual development plans being in place to support performance improvement. The Panel noted that submissions from the provider for its current supervisor did not show evidence of individual development plans to support development or improve performance, which are required to meet this element. </w:t>
      </w:r>
    </w:p>
    <w:p w:rsidR="008B0492" w:rsidRDefault="008B0492" w:rsidP="008B0492">
      <w:pPr>
        <w:pStyle w:val="BodyText"/>
        <w:numPr>
          <w:ilvl w:val="0"/>
          <w:numId w:val="2"/>
        </w:numPr>
        <w:spacing w:before="240" w:after="0"/>
      </w:pPr>
      <w:r>
        <w:t>The Panel noted that some submissions provided as evidence of performance evaluation, including meeting minutes and disciplinary meeting minutes, were either directive or included functional information</w:t>
      </w:r>
      <w:r w:rsidR="00325B19">
        <w:t>,</w:t>
      </w:r>
      <w:r>
        <w:t xml:space="preserve"> such as cleaning duties</w:t>
      </w:r>
      <w:r w:rsidR="00325B19">
        <w:t>,</w:t>
      </w:r>
      <w:r>
        <w:t xml:space="preserve"> and did not support performance improvement. The Panel noted that supporting performance improvement is a requirement to meet this element. </w:t>
      </w:r>
    </w:p>
    <w:p w:rsidR="008B0492" w:rsidRDefault="008B0492" w:rsidP="008B0492">
      <w:pPr>
        <w:pStyle w:val="BodyText"/>
        <w:numPr>
          <w:ilvl w:val="0"/>
          <w:numId w:val="2"/>
        </w:numPr>
        <w:spacing w:before="240" w:after="0"/>
      </w:pPr>
      <w:r>
        <w:t>The Panel discussed that</w:t>
      </w:r>
      <w:r w:rsidR="00325B19">
        <w:t>,</w:t>
      </w:r>
      <w:r>
        <w:t xml:space="preserve"> while the majority of educators are casual</w:t>
      </w:r>
      <w:r w:rsidR="00325B19">
        <w:t>,</w:t>
      </w:r>
      <w:r>
        <w:t xml:space="preserve"> it would expect to see all educators taking part in some level of appraisal. The Panel noted there should be performance improvement discussions with educators which could be documented to show evidence of evaluation and support for individual development. The Panel noted that it is beneficial for both the individual staff member and the service to have professional development plans in place to encourage continuous improvement.</w:t>
      </w:r>
    </w:p>
    <w:p w:rsidR="008B0492" w:rsidRDefault="008B0492" w:rsidP="008B0492">
      <w:pPr>
        <w:pStyle w:val="BodyText"/>
        <w:numPr>
          <w:ilvl w:val="0"/>
          <w:numId w:val="2"/>
        </w:numPr>
        <w:spacing w:before="240" w:after="0"/>
      </w:pPr>
      <w:r>
        <w:t xml:space="preserve">The Panel noted that performance reviews for all staff is an essential part of continuous growth and improvement. </w:t>
      </w:r>
    </w:p>
    <w:p w:rsidR="008B0492" w:rsidRDefault="008B0492" w:rsidP="008B0492">
      <w:pPr>
        <w:pStyle w:val="BodyText"/>
        <w:numPr>
          <w:ilvl w:val="0"/>
          <w:numId w:val="2"/>
        </w:numPr>
        <w:tabs>
          <w:tab w:val="clear" w:pos="1985"/>
        </w:tabs>
        <w:spacing w:before="240" w:after="0"/>
      </w:pPr>
      <w:r w:rsidRPr="008B0492">
        <w:t>The Panel by consensus confirmed the rating level for 7.2.2, that the element is not met.</w:t>
      </w:r>
    </w:p>
    <w:p w:rsidR="00B445B3" w:rsidRPr="00B445B3" w:rsidRDefault="00B445B3" w:rsidP="00F60580">
      <w:pPr>
        <w:pStyle w:val="ListParagraph"/>
        <w:autoSpaceDE w:val="0"/>
        <w:autoSpaceDN w:val="0"/>
        <w:adjustRightInd w:val="0"/>
        <w:spacing w:before="0" w:after="0" w:line="240" w:lineRule="auto"/>
        <w:ind w:left="680"/>
        <w:rPr>
          <w:rFonts w:eastAsia="Batang"/>
          <w:sz w:val="24"/>
          <w:szCs w:val="20"/>
          <w:lang w:eastAsia="ko-KR"/>
        </w:rPr>
      </w:pPr>
    </w:p>
    <w:p w:rsidR="00EA2C89" w:rsidRPr="00EA2C89" w:rsidRDefault="00EA2C89" w:rsidP="00F60580">
      <w:pPr>
        <w:autoSpaceDE w:val="0"/>
        <w:autoSpaceDN w:val="0"/>
        <w:adjustRightInd w:val="0"/>
        <w:spacing w:before="0" w:after="0" w:line="240" w:lineRule="auto"/>
        <w:contextualSpacing/>
        <w:rPr>
          <w:sz w:val="24"/>
          <w:szCs w:val="24"/>
        </w:rPr>
      </w:pPr>
    </w:p>
    <w:p w:rsidR="00D14BF4" w:rsidRPr="007A6CAA" w:rsidRDefault="00B057CB" w:rsidP="00F60580">
      <w:pPr>
        <w:autoSpaceDE w:val="0"/>
        <w:autoSpaceDN w:val="0"/>
        <w:adjustRightInd w:val="0"/>
        <w:spacing w:before="0" w:line="240" w:lineRule="auto"/>
        <w:rPr>
          <w:rFonts w:cs="Arial"/>
          <w:color w:val="000000"/>
          <w:sz w:val="24"/>
          <w:szCs w:val="24"/>
        </w:rPr>
      </w:pPr>
      <w:r w:rsidRPr="007A6CAA">
        <w:rPr>
          <w:b/>
          <w:bCs/>
          <w:color w:val="000000"/>
          <w:sz w:val="24"/>
          <w:szCs w:val="24"/>
        </w:rPr>
        <w:t>Decision</w:t>
      </w:r>
      <w:r w:rsidR="00E300C7" w:rsidRPr="007A6CAA">
        <w:rPr>
          <w:rFonts w:cs="Arial"/>
          <w:sz w:val="28"/>
          <w:szCs w:val="28"/>
        </w:rPr>
        <w:tab/>
      </w:r>
    </w:p>
    <w:p w:rsidR="008B0492" w:rsidRPr="00703BBD" w:rsidRDefault="008B0492" w:rsidP="008B0492">
      <w:pPr>
        <w:pStyle w:val="ListParagraph"/>
        <w:spacing w:before="0" w:after="0" w:line="240" w:lineRule="auto"/>
        <w:ind w:left="0"/>
        <w:rPr>
          <w:rFonts w:cs="Arial"/>
          <w:bCs/>
          <w:sz w:val="24"/>
          <w:szCs w:val="24"/>
          <w14:cntxtAlts/>
        </w:rPr>
      </w:pPr>
      <w:r w:rsidRPr="008B0492">
        <w:rPr>
          <w:rFonts w:cs="Arial"/>
          <w:sz w:val="24"/>
          <w:szCs w:val="24"/>
          <w14:cntxtAlts/>
        </w:rPr>
        <w:t xml:space="preserve">The Ratings Review Panel (the Panel) by consensus decided to confirm the rating level for element </w:t>
      </w:r>
      <w:r w:rsidR="00432127" w:rsidRPr="008B0492">
        <w:rPr>
          <w:rFonts w:cs="Arial"/>
          <w:sz w:val="24"/>
          <w:szCs w:val="24"/>
          <w14:cntxtAlts/>
        </w:rPr>
        <w:t>7.2.2 as</w:t>
      </w:r>
      <w:r w:rsidRPr="008B0492">
        <w:rPr>
          <w:rFonts w:cs="Arial"/>
          <w:sz w:val="24"/>
          <w:szCs w:val="24"/>
          <w14:cntxtAlts/>
        </w:rPr>
        <w:t xml:space="preserve"> not met. As a result, the Panel confirmed the rating level for standard 7.2 is Working Towards NQS. The Panel confirmed the rating level for </w:t>
      </w:r>
      <w:r w:rsidRPr="008B0492">
        <w:rPr>
          <w:rFonts w:cs="Arial"/>
          <w:sz w:val="24"/>
          <w:szCs w:val="24"/>
          <w14:cntxtAlts/>
        </w:rPr>
        <w:lastRenderedPageBreak/>
        <w:t>Quality Area 7 is Working Towards</w:t>
      </w:r>
      <w:r w:rsidRPr="008B0492">
        <w:rPr>
          <w:rStyle w:val="Strong"/>
          <w:rFonts w:cs="Arial"/>
          <w:b w:val="0"/>
          <w:sz w:val="24"/>
          <w:szCs w:val="24"/>
          <w14:cntxtAlts/>
        </w:rPr>
        <w:t xml:space="preserve"> NQS, and the service’s overall rating remains Working Towards NQS</w:t>
      </w:r>
      <w:r w:rsidRPr="008B0492">
        <w:rPr>
          <w:rFonts w:cs="Arial"/>
          <w:sz w:val="24"/>
          <w:szCs w:val="24"/>
          <w14:cntxtAlts/>
        </w:rPr>
        <w:t>.</w:t>
      </w:r>
    </w:p>
    <w:p w:rsidR="00895CD0" w:rsidRPr="00845539" w:rsidRDefault="00895CD0" w:rsidP="008B0492">
      <w:pPr>
        <w:spacing w:line="240" w:lineRule="auto"/>
        <w:rPr>
          <w:rFonts w:cs="Arial"/>
          <w:sz w:val="24"/>
          <w:szCs w:val="24"/>
          <w14:cntxtAlts/>
        </w:rPr>
      </w:pPr>
    </w:p>
    <w:sectPr w:rsidR="00895CD0" w:rsidRPr="00845539" w:rsidSect="00CA1203">
      <w:headerReference w:type="default" r:id="rId9"/>
      <w:footerReference w:type="default" r:id="rId10"/>
      <w:headerReference w:type="first" r:id="rId11"/>
      <w:footerReference w:type="first" r:id="rId12"/>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4C" w:rsidRDefault="00BF164C" w:rsidP="006B3974">
      <w:pPr>
        <w:spacing w:after="0" w:line="240" w:lineRule="auto"/>
      </w:pPr>
      <w:r>
        <w:separator/>
      </w:r>
    </w:p>
  </w:endnote>
  <w:endnote w:type="continuationSeparator" w:id="0">
    <w:p w:rsidR="00BF164C" w:rsidRDefault="00BF164C"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4C" w:rsidRDefault="00BF164C">
    <w:pPr>
      <w:pStyle w:val="Footer"/>
      <w:jc w:val="right"/>
    </w:pPr>
    <w:r>
      <w:fldChar w:fldCharType="begin"/>
    </w:r>
    <w:r>
      <w:instrText xml:space="preserve"> PAGE   \* MERGEFORMAT </w:instrText>
    </w:r>
    <w:r>
      <w:fldChar w:fldCharType="separate"/>
    </w:r>
    <w:r w:rsidR="00BF0B9E">
      <w:rPr>
        <w:noProof/>
      </w:rPr>
      <w:t>4</w:t>
    </w:r>
    <w:r>
      <w:rPr>
        <w:noProof/>
      </w:rPr>
      <w:fldChar w:fldCharType="end"/>
    </w:r>
  </w:p>
  <w:p w:rsidR="00BF164C" w:rsidRPr="00515609" w:rsidRDefault="00BF164C" w:rsidP="00515609">
    <w:pPr>
      <w:pStyle w:val="Footer"/>
      <w:jc w:val="center"/>
      <w:rPr>
        <w:i/>
        <w:color w:val="7F7F7F"/>
      </w:rPr>
    </w:pPr>
    <w:r w:rsidRPr="00515609">
      <w:rPr>
        <w:i/>
        <w:color w:val="7F7F7F"/>
      </w:rPr>
      <w:t>The best possible start in life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4C" w:rsidRDefault="00BF164C">
    <w:pPr>
      <w:pStyle w:val="Footer"/>
    </w:pPr>
    <w:r>
      <w:rPr>
        <w:noProof/>
      </w:rPr>
      <w:drawing>
        <wp:anchor distT="0" distB="0" distL="114300" distR="114300" simplePos="0" relativeHeight="251656192" behindDoc="0" locked="0" layoutInCell="1" allowOverlap="1" wp14:anchorId="64097B1E" wp14:editId="5AC51154">
          <wp:simplePos x="0" y="0"/>
          <wp:positionH relativeFrom="margin">
            <wp:posOffset>-925830</wp:posOffset>
          </wp:positionH>
          <wp:positionV relativeFrom="margin">
            <wp:posOffset>8109585</wp:posOffset>
          </wp:positionV>
          <wp:extent cx="7642225" cy="2787650"/>
          <wp:effectExtent l="0" t="0" r="0" b="0"/>
          <wp:wrapSquare wrapText="bothSides"/>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4C" w:rsidRDefault="00BF164C" w:rsidP="006B3974">
      <w:pPr>
        <w:spacing w:after="0" w:line="240" w:lineRule="auto"/>
      </w:pPr>
      <w:r>
        <w:separator/>
      </w:r>
    </w:p>
  </w:footnote>
  <w:footnote w:type="continuationSeparator" w:id="0">
    <w:p w:rsidR="00BF164C" w:rsidRDefault="00BF164C" w:rsidP="006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4C" w:rsidRDefault="00BF164C">
    <w:pPr>
      <w:pStyle w:val="Header"/>
    </w:pPr>
    <w:r>
      <w:rPr>
        <w:noProof/>
      </w:rPr>
      <w:drawing>
        <wp:anchor distT="0" distB="0" distL="114300" distR="114300" simplePos="0" relativeHeight="251658240" behindDoc="0" locked="0" layoutInCell="1" allowOverlap="1" wp14:anchorId="3FFE737D" wp14:editId="1FA161A5">
          <wp:simplePos x="0" y="0"/>
          <wp:positionH relativeFrom="margin">
            <wp:posOffset>-729615</wp:posOffset>
          </wp:positionH>
          <wp:positionV relativeFrom="margin">
            <wp:posOffset>-1205230</wp:posOffset>
          </wp:positionV>
          <wp:extent cx="2533650" cy="1031240"/>
          <wp:effectExtent l="0" t="0" r="0" b="0"/>
          <wp:wrapSquare wrapText="bothSides"/>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4C" w:rsidRDefault="00BF164C">
    <w:pPr>
      <w:pStyle w:val="Header"/>
    </w:pPr>
    <w:r>
      <w:rPr>
        <w:noProof/>
      </w:rPr>
      <w:drawing>
        <wp:anchor distT="0" distB="0" distL="114300" distR="114300" simplePos="0" relativeHeight="251657216" behindDoc="0" locked="0" layoutInCell="1" allowOverlap="1" wp14:anchorId="58F9EE30" wp14:editId="07339D01">
          <wp:simplePos x="0" y="0"/>
          <wp:positionH relativeFrom="margin">
            <wp:posOffset>-750570</wp:posOffset>
          </wp:positionH>
          <wp:positionV relativeFrom="margin">
            <wp:posOffset>-1201420</wp:posOffset>
          </wp:positionV>
          <wp:extent cx="2533650" cy="1031240"/>
          <wp:effectExtent l="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B1C"/>
    <w:multiLevelType w:val="hybridMultilevel"/>
    <w:tmpl w:val="8E408F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3D47BA6"/>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790510E"/>
    <w:multiLevelType w:val="hybridMultilevel"/>
    <w:tmpl w:val="7B34D84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
    <w:nsid w:val="147C1523"/>
    <w:multiLevelType w:val="hybridMultilevel"/>
    <w:tmpl w:val="4ED6C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D41FD5"/>
    <w:multiLevelType w:val="hybridMultilevel"/>
    <w:tmpl w:val="BB7CF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D312F9"/>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E151BFF"/>
    <w:multiLevelType w:val="hybridMultilevel"/>
    <w:tmpl w:val="60925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45F503F"/>
    <w:multiLevelType w:val="hybridMultilevel"/>
    <w:tmpl w:val="80BC3EBC"/>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9">
    <w:nsid w:val="441770C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61A0E11"/>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9E22F44"/>
    <w:multiLevelType w:val="multilevel"/>
    <w:tmpl w:val="1278EC98"/>
    <w:lvl w:ilvl="0">
      <w:start w:val="1"/>
      <w:numFmt w:val="decimal"/>
      <w:lvlText w:val="%1."/>
      <w:lvlJc w:val="left"/>
      <w:pPr>
        <w:ind w:left="680" w:hanging="567"/>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D3A6F4A"/>
    <w:multiLevelType w:val="multilevel"/>
    <w:tmpl w:val="BFF81A0E"/>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035437B"/>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E5A7AAF"/>
    <w:multiLevelType w:val="multilevel"/>
    <w:tmpl w:val="EF181FC2"/>
    <w:lvl w:ilvl="0">
      <w:start w:val="1"/>
      <w:numFmt w:val="lowerLetter"/>
      <w:lvlText w:val="%1."/>
      <w:lvlJc w:val="left"/>
      <w:pPr>
        <w:tabs>
          <w:tab w:val="num" w:pos="2268"/>
        </w:tabs>
        <w:ind w:left="2268"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8A6E35"/>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0D76597"/>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2FC26A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5FC384B"/>
    <w:multiLevelType w:val="hybridMultilevel"/>
    <w:tmpl w:val="B84E36C6"/>
    <w:lvl w:ilvl="0" w:tplc="F0F22E50">
      <w:start w:val="1"/>
      <w:numFmt w:val="bullet"/>
      <w:pStyle w:val="ListBullet"/>
      <w:lvlText w:val=""/>
      <w:lvlJc w:val="left"/>
      <w:pPr>
        <w:ind w:left="360" w:hanging="360"/>
      </w:pPr>
      <w:rPr>
        <w:rFonts w:ascii="Symbol" w:hAnsi="Symbol" w:hint="default"/>
        <w:sz w:val="18"/>
      </w:rPr>
    </w:lvl>
    <w:lvl w:ilvl="1" w:tplc="2E3E8784" w:tentative="1">
      <w:start w:val="1"/>
      <w:numFmt w:val="bullet"/>
      <w:lvlText w:val="o"/>
      <w:lvlJc w:val="left"/>
      <w:pPr>
        <w:tabs>
          <w:tab w:val="num" w:pos="1440"/>
        </w:tabs>
        <w:ind w:left="1440" w:hanging="360"/>
      </w:pPr>
      <w:rPr>
        <w:rFonts w:ascii="Courier New" w:hAnsi="Courier New" w:hint="default"/>
      </w:rPr>
    </w:lvl>
    <w:lvl w:ilvl="2" w:tplc="59080970" w:tentative="1">
      <w:start w:val="1"/>
      <w:numFmt w:val="bullet"/>
      <w:lvlText w:val=""/>
      <w:lvlJc w:val="left"/>
      <w:pPr>
        <w:tabs>
          <w:tab w:val="num" w:pos="2160"/>
        </w:tabs>
        <w:ind w:left="2160" w:hanging="360"/>
      </w:pPr>
      <w:rPr>
        <w:rFonts w:ascii="Wingdings" w:hAnsi="Wingdings" w:hint="default"/>
      </w:rPr>
    </w:lvl>
    <w:lvl w:ilvl="3" w:tplc="4F723758" w:tentative="1">
      <w:start w:val="1"/>
      <w:numFmt w:val="bullet"/>
      <w:lvlText w:val=""/>
      <w:lvlJc w:val="left"/>
      <w:pPr>
        <w:tabs>
          <w:tab w:val="num" w:pos="2880"/>
        </w:tabs>
        <w:ind w:left="2880" w:hanging="360"/>
      </w:pPr>
      <w:rPr>
        <w:rFonts w:ascii="Symbol" w:hAnsi="Symbol" w:hint="default"/>
      </w:rPr>
    </w:lvl>
    <w:lvl w:ilvl="4" w:tplc="B93E1E4C" w:tentative="1">
      <w:start w:val="1"/>
      <w:numFmt w:val="bullet"/>
      <w:lvlText w:val="o"/>
      <w:lvlJc w:val="left"/>
      <w:pPr>
        <w:tabs>
          <w:tab w:val="num" w:pos="3600"/>
        </w:tabs>
        <w:ind w:left="3600" w:hanging="360"/>
      </w:pPr>
      <w:rPr>
        <w:rFonts w:ascii="Courier New" w:hAnsi="Courier New" w:hint="default"/>
      </w:rPr>
    </w:lvl>
    <w:lvl w:ilvl="5" w:tplc="A050BC32" w:tentative="1">
      <w:start w:val="1"/>
      <w:numFmt w:val="bullet"/>
      <w:lvlText w:val=""/>
      <w:lvlJc w:val="left"/>
      <w:pPr>
        <w:tabs>
          <w:tab w:val="num" w:pos="4320"/>
        </w:tabs>
        <w:ind w:left="4320" w:hanging="360"/>
      </w:pPr>
      <w:rPr>
        <w:rFonts w:ascii="Wingdings" w:hAnsi="Wingdings" w:hint="default"/>
      </w:rPr>
    </w:lvl>
    <w:lvl w:ilvl="6" w:tplc="5A26BB42" w:tentative="1">
      <w:start w:val="1"/>
      <w:numFmt w:val="bullet"/>
      <w:lvlText w:val=""/>
      <w:lvlJc w:val="left"/>
      <w:pPr>
        <w:tabs>
          <w:tab w:val="num" w:pos="5040"/>
        </w:tabs>
        <w:ind w:left="5040" w:hanging="360"/>
      </w:pPr>
      <w:rPr>
        <w:rFonts w:ascii="Symbol" w:hAnsi="Symbol" w:hint="default"/>
      </w:rPr>
    </w:lvl>
    <w:lvl w:ilvl="7" w:tplc="7EF26B28" w:tentative="1">
      <w:start w:val="1"/>
      <w:numFmt w:val="bullet"/>
      <w:lvlText w:val="o"/>
      <w:lvlJc w:val="left"/>
      <w:pPr>
        <w:tabs>
          <w:tab w:val="num" w:pos="5760"/>
        </w:tabs>
        <w:ind w:left="5760" w:hanging="360"/>
      </w:pPr>
      <w:rPr>
        <w:rFonts w:ascii="Courier New" w:hAnsi="Courier New" w:hint="default"/>
      </w:rPr>
    </w:lvl>
    <w:lvl w:ilvl="8" w:tplc="3DE83D8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1"/>
  </w:num>
  <w:num w:numId="6">
    <w:abstractNumId w:val="10"/>
  </w:num>
  <w:num w:numId="7">
    <w:abstractNumId w:val="12"/>
  </w:num>
  <w:num w:numId="8">
    <w:abstractNumId w:val="3"/>
  </w:num>
  <w:num w:numId="9">
    <w:abstractNumId w:val="5"/>
  </w:num>
  <w:num w:numId="10">
    <w:abstractNumId w:val="6"/>
  </w:num>
  <w:num w:numId="11">
    <w:abstractNumId w:val="8"/>
  </w:num>
  <w:num w:numId="12">
    <w:abstractNumId w:val="4"/>
  </w:num>
  <w:num w:numId="13">
    <w:abstractNumId w:val="0"/>
  </w:num>
  <w:num w:numId="14">
    <w:abstractNumId w:val="16"/>
  </w:num>
  <w:num w:numId="15">
    <w:abstractNumId w:val="13"/>
  </w:num>
  <w:num w:numId="16">
    <w:abstractNumId w:val="15"/>
  </w:num>
  <w:num w:numId="17">
    <w:abstractNumId w:val="18"/>
  </w:num>
  <w:num w:numId="18">
    <w:abstractNumId w:val="17"/>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1580"/>
    <w:rsid w:val="0001491B"/>
    <w:rsid w:val="000150F6"/>
    <w:rsid w:val="00020D7F"/>
    <w:rsid w:val="00021894"/>
    <w:rsid w:val="00025822"/>
    <w:rsid w:val="00027A91"/>
    <w:rsid w:val="00034389"/>
    <w:rsid w:val="00036EF1"/>
    <w:rsid w:val="00040FAF"/>
    <w:rsid w:val="00057CDE"/>
    <w:rsid w:val="000633EA"/>
    <w:rsid w:val="00070B0C"/>
    <w:rsid w:val="00073508"/>
    <w:rsid w:val="000755D1"/>
    <w:rsid w:val="000809FD"/>
    <w:rsid w:val="000912AC"/>
    <w:rsid w:val="0009186E"/>
    <w:rsid w:val="000A1129"/>
    <w:rsid w:val="000A3B97"/>
    <w:rsid w:val="000A5390"/>
    <w:rsid w:val="000A539B"/>
    <w:rsid w:val="000A55D2"/>
    <w:rsid w:val="000B2615"/>
    <w:rsid w:val="000B2B52"/>
    <w:rsid w:val="000B6EE0"/>
    <w:rsid w:val="000B7BE7"/>
    <w:rsid w:val="000C170C"/>
    <w:rsid w:val="000C1FD4"/>
    <w:rsid w:val="000C4DC8"/>
    <w:rsid w:val="000C608C"/>
    <w:rsid w:val="000D66D1"/>
    <w:rsid w:val="000E187D"/>
    <w:rsid w:val="000E4796"/>
    <w:rsid w:val="000E6501"/>
    <w:rsid w:val="000F355B"/>
    <w:rsid w:val="000F3E5C"/>
    <w:rsid w:val="000F4A7D"/>
    <w:rsid w:val="000F5839"/>
    <w:rsid w:val="000F67D8"/>
    <w:rsid w:val="000F7BEC"/>
    <w:rsid w:val="000F7FCC"/>
    <w:rsid w:val="001026BD"/>
    <w:rsid w:val="00103DDE"/>
    <w:rsid w:val="00104EA2"/>
    <w:rsid w:val="001127F6"/>
    <w:rsid w:val="00112CF3"/>
    <w:rsid w:val="001213B9"/>
    <w:rsid w:val="00136FC5"/>
    <w:rsid w:val="00143864"/>
    <w:rsid w:val="00147535"/>
    <w:rsid w:val="00147712"/>
    <w:rsid w:val="001541C3"/>
    <w:rsid w:val="00155658"/>
    <w:rsid w:val="00156333"/>
    <w:rsid w:val="00163FA3"/>
    <w:rsid w:val="00164207"/>
    <w:rsid w:val="00166CDA"/>
    <w:rsid w:val="00167166"/>
    <w:rsid w:val="00173AF4"/>
    <w:rsid w:val="00174E2A"/>
    <w:rsid w:val="00176F25"/>
    <w:rsid w:val="00181421"/>
    <w:rsid w:val="00190157"/>
    <w:rsid w:val="00191BC9"/>
    <w:rsid w:val="00192EEE"/>
    <w:rsid w:val="00196602"/>
    <w:rsid w:val="001A09D2"/>
    <w:rsid w:val="001A15F5"/>
    <w:rsid w:val="001B6DA9"/>
    <w:rsid w:val="001C091A"/>
    <w:rsid w:val="001C0C57"/>
    <w:rsid w:val="001C20B3"/>
    <w:rsid w:val="001C3697"/>
    <w:rsid w:val="001D0CB1"/>
    <w:rsid w:val="001D1971"/>
    <w:rsid w:val="001D3664"/>
    <w:rsid w:val="001E6616"/>
    <w:rsid w:val="001F1AE7"/>
    <w:rsid w:val="001F2EB4"/>
    <w:rsid w:val="00203E6E"/>
    <w:rsid w:val="0020499E"/>
    <w:rsid w:val="00207E2D"/>
    <w:rsid w:val="002143B6"/>
    <w:rsid w:val="002157FE"/>
    <w:rsid w:val="002211ED"/>
    <w:rsid w:val="00221A0F"/>
    <w:rsid w:val="0022373A"/>
    <w:rsid w:val="00223F57"/>
    <w:rsid w:val="00224B6F"/>
    <w:rsid w:val="00226432"/>
    <w:rsid w:val="00227D76"/>
    <w:rsid w:val="00235D1C"/>
    <w:rsid w:val="00237409"/>
    <w:rsid w:val="0025052F"/>
    <w:rsid w:val="002543FC"/>
    <w:rsid w:val="002604A4"/>
    <w:rsid w:val="002615DC"/>
    <w:rsid w:val="00262243"/>
    <w:rsid w:val="00265A01"/>
    <w:rsid w:val="0027191C"/>
    <w:rsid w:val="00271B7B"/>
    <w:rsid w:val="00272595"/>
    <w:rsid w:val="00274F70"/>
    <w:rsid w:val="00280A98"/>
    <w:rsid w:val="00286D0F"/>
    <w:rsid w:val="002930DB"/>
    <w:rsid w:val="002931DA"/>
    <w:rsid w:val="00293899"/>
    <w:rsid w:val="00296313"/>
    <w:rsid w:val="00297105"/>
    <w:rsid w:val="002A0F72"/>
    <w:rsid w:val="002A4ADB"/>
    <w:rsid w:val="002A62F1"/>
    <w:rsid w:val="002A7F3A"/>
    <w:rsid w:val="002B0450"/>
    <w:rsid w:val="002C0900"/>
    <w:rsid w:val="002D3D61"/>
    <w:rsid w:val="002D4266"/>
    <w:rsid w:val="002D4791"/>
    <w:rsid w:val="002E154A"/>
    <w:rsid w:val="002E383F"/>
    <w:rsid w:val="002F055B"/>
    <w:rsid w:val="00304430"/>
    <w:rsid w:val="00306D0F"/>
    <w:rsid w:val="00310B07"/>
    <w:rsid w:val="00315E80"/>
    <w:rsid w:val="00316848"/>
    <w:rsid w:val="0032327E"/>
    <w:rsid w:val="00325B19"/>
    <w:rsid w:val="00325E55"/>
    <w:rsid w:val="00326174"/>
    <w:rsid w:val="00326FC5"/>
    <w:rsid w:val="00327C78"/>
    <w:rsid w:val="003302CC"/>
    <w:rsid w:val="0033171D"/>
    <w:rsid w:val="00332EDB"/>
    <w:rsid w:val="00335B85"/>
    <w:rsid w:val="00335D3D"/>
    <w:rsid w:val="00341038"/>
    <w:rsid w:val="003411DD"/>
    <w:rsid w:val="003430A1"/>
    <w:rsid w:val="00345F18"/>
    <w:rsid w:val="0035292C"/>
    <w:rsid w:val="00352D41"/>
    <w:rsid w:val="0035759C"/>
    <w:rsid w:val="00357D5C"/>
    <w:rsid w:val="00361D2F"/>
    <w:rsid w:val="00363CED"/>
    <w:rsid w:val="003646EA"/>
    <w:rsid w:val="00365E22"/>
    <w:rsid w:val="00365EA1"/>
    <w:rsid w:val="003836C7"/>
    <w:rsid w:val="00384947"/>
    <w:rsid w:val="00384A60"/>
    <w:rsid w:val="0038743D"/>
    <w:rsid w:val="0039009C"/>
    <w:rsid w:val="003911B4"/>
    <w:rsid w:val="003A0201"/>
    <w:rsid w:val="003A52DA"/>
    <w:rsid w:val="003B3E57"/>
    <w:rsid w:val="003B635B"/>
    <w:rsid w:val="003C2867"/>
    <w:rsid w:val="003D0BDE"/>
    <w:rsid w:val="003D320F"/>
    <w:rsid w:val="003E29D9"/>
    <w:rsid w:val="003F3393"/>
    <w:rsid w:val="003F58C7"/>
    <w:rsid w:val="004009B6"/>
    <w:rsid w:val="00401AAB"/>
    <w:rsid w:val="00402415"/>
    <w:rsid w:val="004024DB"/>
    <w:rsid w:val="00403C0A"/>
    <w:rsid w:val="004062B8"/>
    <w:rsid w:val="00417017"/>
    <w:rsid w:val="00417C54"/>
    <w:rsid w:val="004219F7"/>
    <w:rsid w:val="00421B9E"/>
    <w:rsid w:val="0042544F"/>
    <w:rsid w:val="0043134B"/>
    <w:rsid w:val="00432127"/>
    <w:rsid w:val="004330E6"/>
    <w:rsid w:val="00434052"/>
    <w:rsid w:val="00440300"/>
    <w:rsid w:val="00442B5A"/>
    <w:rsid w:val="0044379A"/>
    <w:rsid w:val="004468E9"/>
    <w:rsid w:val="00450725"/>
    <w:rsid w:val="00450E7D"/>
    <w:rsid w:val="00451FDB"/>
    <w:rsid w:val="004521BD"/>
    <w:rsid w:val="00452827"/>
    <w:rsid w:val="0046286E"/>
    <w:rsid w:val="004666D1"/>
    <w:rsid w:val="00466F13"/>
    <w:rsid w:val="00470E6F"/>
    <w:rsid w:val="00475789"/>
    <w:rsid w:val="00477B3D"/>
    <w:rsid w:val="00480DDF"/>
    <w:rsid w:val="00486933"/>
    <w:rsid w:val="00487320"/>
    <w:rsid w:val="00490470"/>
    <w:rsid w:val="00494058"/>
    <w:rsid w:val="00496D2C"/>
    <w:rsid w:val="004A185E"/>
    <w:rsid w:val="004A601F"/>
    <w:rsid w:val="004A7D2F"/>
    <w:rsid w:val="004B28B5"/>
    <w:rsid w:val="004B3610"/>
    <w:rsid w:val="004B4FBD"/>
    <w:rsid w:val="004B6F4D"/>
    <w:rsid w:val="004B7EC1"/>
    <w:rsid w:val="004C0DC9"/>
    <w:rsid w:val="004C23FB"/>
    <w:rsid w:val="004C45EF"/>
    <w:rsid w:val="004C6BB8"/>
    <w:rsid w:val="004D04DA"/>
    <w:rsid w:val="004D0AF2"/>
    <w:rsid w:val="004D329E"/>
    <w:rsid w:val="004D4193"/>
    <w:rsid w:val="004E07F3"/>
    <w:rsid w:val="004E284A"/>
    <w:rsid w:val="004E51DA"/>
    <w:rsid w:val="004F2CD2"/>
    <w:rsid w:val="004F364E"/>
    <w:rsid w:val="004F717B"/>
    <w:rsid w:val="00506B14"/>
    <w:rsid w:val="00511794"/>
    <w:rsid w:val="00515609"/>
    <w:rsid w:val="0052178E"/>
    <w:rsid w:val="00527343"/>
    <w:rsid w:val="005322C5"/>
    <w:rsid w:val="00537EB5"/>
    <w:rsid w:val="00543928"/>
    <w:rsid w:val="00544836"/>
    <w:rsid w:val="00556C8E"/>
    <w:rsid w:val="00557DDA"/>
    <w:rsid w:val="00574B34"/>
    <w:rsid w:val="00582141"/>
    <w:rsid w:val="00590032"/>
    <w:rsid w:val="005905D6"/>
    <w:rsid w:val="005978C4"/>
    <w:rsid w:val="005A1689"/>
    <w:rsid w:val="005B1BD9"/>
    <w:rsid w:val="005B2A59"/>
    <w:rsid w:val="005B3A5C"/>
    <w:rsid w:val="005B5EFA"/>
    <w:rsid w:val="005B7DCF"/>
    <w:rsid w:val="005C2A1D"/>
    <w:rsid w:val="005C6996"/>
    <w:rsid w:val="005D0B93"/>
    <w:rsid w:val="005D14E7"/>
    <w:rsid w:val="005D29E3"/>
    <w:rsid w:val="005D6735"/>
    <w:rsid w:val="005E03B8"/>
    <w:rsid w:val="005E4700"/>
    <w:rsid w:val="005E692A"/>
    <w:rsid w:val="005F0208"/>
    <w:rsid w:val="005F4F57"/>
    <w:rsid w:val="005F6AE1"/>
    <w:rsid w:val="00602334"/>
    <w:rsid w:val="00603DA9"/>
    <w:rsid w:val="006047C4"/>
    <w:rsid w:val="0060644A"/>
    <w:rsid w:val="006067AD"/>
    <w:rsid w:val="00606B8E"/>
    <w:rsid w:val="0062014D"/>
    <w:rsid w:val="00621E0D"/>
    <w:rsid w:val="00622E2C"/>
    <w:rsid w:val="00625F4A"/>
    <w:rsid w:val="00626702"/>
    <w:rsid w:val="00627933"/>
    <w:rsid w:val="00630074"/>
    <w:rsid w:val="00633F04"/>
    <w:rsid w:val="00637499"/>
    <w:rsid w:val="00637875"/>
    <w:rsid w:val="00637BED"/>
    <w:rsid w:val="00644DD8"/>
    <w:rsid w:val="00645B95"/>
    <w:rsid w:val="00646A9C"/>
    <w:rsid w:val="006523E4"/>
    <w:rsid w:val="00654387"/>
    <w:rsid w:val="00655C30"/>
    <w:rsid w:val="00660166"/>
    <w:rsid w:val="006641E4"/>
    <w:rsid w:val="006702EC"/>
    <w:rsid w:val="0067125E"/>
    <w:rsid w:val="00671C84"/>
    <w:rsid w:val="00672472"/>
    <w:rsid w:val="00675F44"/>
    <w:rsid w:val="00680B10"/>
    <w:rsid w:val="006914B4"/>
    <w:rsid w:val="006916B5"/>
    <w:rsid w:val="006925C0"/>
    <w:rsid w:val="006946F6"/>
    <w:rsid w:val="00695686"/>
    <w:rsid w:val="006957D5"/>
    <w:rsid w:val="006969CE"/>
    <w:rsid w:val="006A417E"/>
    <w:rsid w:val="006A4E45"/>
    <w:rsid w:val="006A5057"/>
    <w:rsid w:val="006A606F"/>
    <w:rsid w:val="006A704D"/>
    <w:rsid w:val="006B06A6"/>
    <w:rsid w:val="006B1206"/>
    <w:rsid w:val="006B364A"/>
    <w:rsid w:val="006B3974"/>
    <w:rsid w:val="006B44BC"/>
    <w:rsid w:val="006B6D04"/>
    <w:rsid w:val="006C4BF9"/>
    <w:rsid w:val="006D170C"/>
    <w:rsid w:val="006E0C7D"/>
    <w:rsid w:val="006E23B9"/>
    <w:rsid w:val="006E5E17"/>
    <w:rsid w:val="006F1DEA"/>
    <w:rsid w:val="006F32AC"/>
    <w:rsid w:val="00701B40"/>
    <w:rsid w:val="00703BBD"/>
    <w:rsid w:val="0070622F"/>
    <w:rsid w:val="0071454D"/>
    <w:rsid w:val="0071626D"/>
    <w:rsid w:val="007166F8"/>
    <w:rsid w:val="00717DCF"/>
    <w:rsid w:val="00726176"/>
    <w:rsid w:val="00732FF9"/>
    <w:rsid w:val="007363FB"/>
    <w:rsid w:val="00736B06"/>
    <w:rsid w:val="00740F66"/>
    <w:rsid w:val="00743BFE"/>
    <w:rsid w:val="00743E45"/>
    <w:rsid w:val="00746192"/>
    <w:rsid w:val="0074689B"/>
    <w:rsid w:val="00757165"/>
    <w:rsid w:val="00761239"/>
    <w:rsid w:val="00761698"/>
    <w:rsid w:val="00762980"/>
    <w:rsid w:val="00763358"/>
    <w:rsid w:val="00765E24"/>
    <w:rsid w:val="007742B3"/>
    <w:rsid w:val="0077450E"/>
    <w:rsid w:val="00774981"/>
    <w:rsid w:val="0077579B"/>
    <w:rsid w:val="0077591F"/>
    <w:rsid w:val="00780FC9"/>
    <w:rsid w:val="0078222E"/>
    <w:rsid w:val="00783D15"/>
    <w:rsid w:val="00786BD6"/>
    <w:rsid w:val="007921DC"/>
    <w:rsid w:val="00792463"/>
    <w:rsid w:val="00793E34"/>
    <w:rsid w:val="007A2AB1"/>
    <w:rsid w:val="007A38F9"/>
    <w:rsid w:val="007A5479"/>
    <w:rsid w:val="007A6CAA"/>
    <w:rsid w:val="007A7E27"/>
    <w:rsid w:val="007B04BF"/>
    <w:rsid w:val="007B508E"/>
    <w:rsid w:val="007B548C"/>
    <w:rsid w:val="007B77CF"/>
    <w:rsid w:val="007C0B63"/>
    <w:rsid w:val="007C2520"/>
    <w:rsid w:val="007C5235"/>
    <w:rsid w:val="007C79FD"/>
    <w:rsid w:val="007D0E80"/>
    <w:rsid w:val="007D166B"/>
    <w:rsid w:val="007D366F"/>
    <w:rsid w:val="007D53C8"/>
    <w:rsid w:val="007E189C"/>
    <w:rsid w:val="007E4B8C"/>
    <w:rsid w:val="007E4DB9"/>
    <w:rsid w:val="007E5E21"/>
    <w:rsid w:val="007E64AD"/>
    <w:rsid w:val="007F29CC"/>
    <w:rsid w:val="007F2DA9"/>
    <w:rsid w:val="0080243D"/>
    <w:rsid w:val="00805A5A"/>
    <w:rsid w:val="00813745"/>
    <w:rsid w:val="00813A2F"/>
    <w:rsid w:val="00816849"/>
    <w:rsid w:val="00817490"/>
    <w:rsid w:val="008264A0"/>
    <w:rsid w:val="008265FF"/>
    <w:rsid w:val="00830A04"/>
    <w:rsid w:val="00832361"/>
    <w:rsid w:val="008335AE"/>
    <w:rsid w:val="008368DB"/>
    <w:rsid w:val="008369B7"/>
    <w:rsid w:val="00845539"/>
    <w:rsid w:val="00852D7B"/>
    <w:rsid w:val="00852E88"/>
    <w:rsid w:val="0085640A"/>
    <w:rsid w:val="00861479"/>
    <w:rsid w:val="008614A3"/>
    <w:rsid w:val="008647B0"/>
    <w:rsid w:val="0087056C"/>
    <w:rsid w:val="00870589"/>
    <w:rsid w:val="00872D89"/>
    <w:rsid w:val="00874CA1"/>
    <w:rsid w:val="00876D27"/>
    <w:rsid w:val="00894D5F"/>
    <w:rsid w:val="00895CD0"/>
    <w:rsid w:val="00896971"/>
    <w:rsid w:val="00896C88"/>
    <w:rsid w:val="008978F0"/>
    <w:rsid w:val="00897F23"/>
    <w:rsid w:val="008A53BE"/>
    <w:rsid w:val="008B0492"/>
    <w:rsid w:val="008B120E"/>
    <w:rsid w:val="008C64F1"/>
    <w:rsid w:val="008C756E"/>
    <w:rsid w:val="008D76D3"/>
    <w:rsid w:val="008E0DE5"/>
    <w:rsid w:val="008E348A"/>
    <w:rsid w:val="008E3706"/>
    <w:rsid w:val="008E73AE"/>
    <w:rsid w:val="008F2667"/>
    <w:rsid w:val="008F5E10"/>
    <w:rsid w:val="00905C82"/>
    <w:rsid w:val="009063F9"/>
    <w:rsid w:val="00906563"/>
    <w:rsid w:val="00906A20"/>
    <w:rsid w:val="0090785C"/>
    <w:rsid w:val="009175A6"/>
    <w:rsid w:val="00917CA1"/>
    <w:rsid w:val="009209CC"/>
    <w:rsid w:val="00925049"/>
    <w:rsid w:val="0092609C"/>
    <w:rsid w:val="00927C3C"/>
    <w:rsid w:val="00932C0A"/>
    <w:rsid w:val="00934595"/>
    <w:rsid w:val="009357E9"/>
    <w:rsid w:val="0094046F"/>
    <w:rsid w:val="0094085D"/>
    <w:rsid w:val="009428FC"/>
    <w:rsid w:val="00945412"/>
    <w:rsid w:val="00947F3F"/>
    <w:rsid w:val="00950306"/>
    <w:rsid w:val="00951D0B"/>
    <w:rsid w:val="0095292D"/>
    <w:rsid w:val="009533E7"/>
    <w:rsid w:val="009540DF"/>
    <w:rsid w:val="009705C7"/>
    <w:rsid w:val="009738CB"/>
    <w:rsid w:val="009758B2"/>
    <w:rsid w:val="00976E22"/>
    <w:rsid w:val="00977017"/>
    <w:rsid w:val="00977A68"/>
    <w:rsid w:val="00977B91"/>
    <w:rsid w:val="00980670"/>
    <w:rsid w:val="00981574"/>
    <w:rsid w:val="00981BFC"/>
    <w:rsid w:val="009837A5"/>
    <w:rsid w:val="00991858"/>
    <w:rsid w:val="00997AFF"/>
    <w:rsid w:val="009A3862"/>
    <w:rsid w:val="009A3957"/>
    <w:rsid w:val="009B0272"/>
    <w:rsid w:val="009B1B15"/>
    <w:rsid w:val="009B22D7"/>
    <w:rsid w:val="009C0ED8"/>
    <w:rsid w:val="009C1DF5"/>
    <w:rsid w:val="009C2F2F"/>
    <w:rsid w:val="009C4769"/>
    <w:rsid w:val="009C54FB"/>
    <w:rsid w:val="009D0CC1"/>
    <w:rsid w:val="009D29D5"/>
    <w:rsid w:val="009D406B"/>
    <w:rsid w:val="009E24CA"/>
    <w:rsid w:val="009E4CA3"/>
    <w:rsid w:val="009E5F87"/>
    <w:rsid w:val="009F21B9"/>
    <w:rsid w:val="009F3FF4"/>
    <w:rsid w:val="00A06E19"/>
    <w:rsid w:val="00A10D53"/>
    <w:rsid w:val="00A117DA"/>
    <w:rsid w:val="00A11BDC"/>
    <w:rsid w:val="00A15DF1"/>
    <w:rsid w:val="00A21F37"/>
    <w:rsid w:val="00A2210E"/>
    <w:rsid w:val="00A2535E"/>
    <w:rsid w:val="00A2643C"/>
    <w:rsid w:val="00A32FF0"/>
    <w:rsid w:val="00A4484F"/>
    <w:rsid w:val="00A543FC"/>
    <w:rsid w:val="00A609E6"/>
    <w:rsid w:val="00A616FB"/>
    <w:rsid w:val="00A65578"/>
    <w:rsid w:val="00A65FBE"/>
    <w:rsid w:val="00A76B2B"/>
    <w:rsid w:val="00A76B80"/>
    <w:rsid w:val="00A779CA"/>
    <w:rsid w:val="00A77F5C"/>
    <w:rsid w:val="00A80EE9"/>
    <w:rsid w:val="00A834F8"/>
    <w:rsid w:val="00A850C9"/>
    <w:rsid w:val="00A85AD7"/>
    <w:rsid w:val="00A91E42"/>
    <w:rsid w:val="00A95122"/>
    <w:rsid w:val="00A96858"/>
    <w:rsid w:val="00A97F11"/>
    <w:rsid w:val="00AA0EA4"/>
    <w:rsid w:val="00AA2471"/>
    <w:rsid w:val="00AA46A0"/>
    <w:rsid w:val="00AB12A1"/>
    <w:rsid w:val="00AB1F16"/>
    <w:rsid w:val="00AB5C21"/>
    <w:rsid w:val="00AB74E2"/>
    <w:rsid w:val="00AB7A2C"/>
    <w:rsid w:val="00AC2034"/>
    <w:rsid w:val="00AC6563"/>
    <w:rsid w:val="00AC6627"/>
    <w:rsid w:val="00AD1FF5"/>
    <w:rsid w:val="00AD2FD9"/>
    <w:rsid w:val="00AD37F4"/>
    <w:rsid w:val="00AE0AC0"/>
    <w:rsid w:val="00AE4D6E"/>
    <w:rsid w:val="00AE7B04"/>
    <w:rsid w:val="00B0073A"/>
    <w:rsid w:val="00B01D4E"/>
    <w:rsid w:val="00B03CE4"/>
    <w:rsid w:val="00B04F42"/>
    <w:rsid w:val="00B055A7"/>
    <w:rsid w:val="00B057CB"/>
    <w:rsid w:val="00B15366"/>
    <w:rsid w:val="00B166E1"/>
    <w:rsid w:val="00B178F0"/>
    <w:rsid w:val="00B23C01"/>
    <w:rsid w:val="00B408D4"/>
    <w:rsid w:val="00B41829"/>
    <w:rsid w:val="00B445B3"/>
    <w:rsid w:val="00B50C59"/>
    <w:rsid w:val="00B52AF0"/>
    <w:rsid w:val="00B53B01"/>
    <w:rsid w:val="00B53EF7"/>
    <w:rsid w:val="00B55D40"/>
    <w:rsid w:val="00B61DA8"/>
    <w:rsid w:val="00B640C9"/>
    <w:rsid w:val="00B71525"/>
    <w:rsid w:val="00B72BD3"/>
    <w:rsid w:val="00B75306"/>
    <w:rsid w:val="00B828E4"/>
    <w:rsid w:val="00BA4209"/>
    <w:rsid w:val="00BB48B6"/>
    <w:rsid w:val="00BD2827"/>
    <w:rsid w:val="00BD53DA"/>
    <w:rsid w:val="00BE4A1E"/>
    <w:rsid w:val="00BE515A"/>
    <w:rsid w:val="00BE6AC1"/>
    <w:rsid w:val="00BE6B11"/>
    <w:rsid w:val="00BF0B9E"/>
    <w:rsid w:val="00BF164C"/>
    <w:rsid w:val="00BF2123"/>
    <w:rsid w:val="00BF5EB2"/>
    <w:rsid w:val="00C0668D"/>
    <w:rsid w:val="00C06DD5"/>
    <w:rsid w:val="00C1154D"/>
    <w:rsid w:val="00C1421C"/>
    <w:rsid w:val="00C157E0"/>
    <w:rsid w:val="00C211D0"/>
    <w:rsid w:val="00C225C7"/>
    <w:rsid w:val="00C269BB"/>
    <w:rsid w:val="00C270C7"/>
    <w:rsid w:val="00C27762"/>
    <w:rsid w:val="00C32759"/>
    <w:rsid w:val="00C33FA2"/>
    <w:rsid w:val="00C357D5"/>
    <w:rsid w:val="00C41CF6"/>
    <w:rsid w:val="00C42ABD"/>
    <w:rsid w:val="00C43582"/>
    <w:rsid w:val="00C45963"/>
    <w:rsid w:val="00C50DA6"/>
    <w:rsid w:val="00C62678"/>
    <w:rsid w:val="00C6433A"/>
    <w:rsid w:val="00C64D56"/>
    <w:rsid w:val="00C66887"/>
    <w:rsid w:val="00C67078"/>
    <w:rsid w:val="00C75876"/>
    <w:rsid w:val="00C76790"/>
    <w:rsid w:val="00C81A7A"/>
    <w:rsid w:val="00C8646D"/>
    <w:rsid w:val="00C910FB"/>
    <w:rsid w:val="00C91E77"/>
    <w:rsid w:val="00C92027"/>
    <w:rsid w:val="00C93CCF"/>
    <w:rsid w:val="00C94026"/>
    <w:rsid w:val="00CA0B6E"/>
    <w:rsid w:val="00CA1203"/>
    <w:rsid w:val="00CA7C56"/>
    <w:rsid w:val="00CB1C1E"/>
    <w:rsid w:val="00CB2379"/>
    <w:rsid w:val="00CB747B"/>
    <w:rsid w:val="00CB7A5C"/>
    <w:rsid w:val="00CC39EC"/>
    <w:rsid w:val="00CC6526"/>
    <w:rsid w:val="00CC7228"/>
    <w:rsid w:val="00CD55D2"/>
    <w:rsid w:val="00CF0C15"/>
    <w:rsid w:val="00CF3972"/>
    <w:rsid w:val="00D01911"/>
    <w:rsid w:val="00D03B8F"/>
    <w:rsid w:val="00D07095"/>
    <w:rsid w:val="00D12D05"/>
    <w:rsid w:val="00D14BF4"/>
    <w:rsid w:val="00D2667C"/>
    <w:rsid w:val="00D27621"/>
    <w:rsid w:val="00D3471E"/>
    <w:rsid w:val="00D43CDB"/>
    <w:rsid w:val="00D442EF"/>
    <w:rsid w:val="00D53DA2"/>
    <w:rsid w:val="00D53E69"/>
    <w:rsid w:val="00D555A2"/>
    <w:rsid w:val="00D5603F"/>
    <w:rsid w:val="00D57208"/>
    <w:rsid w:val="00D627C5"/>
    <w:rsid w:val="00D708C6"/>
    <w:rsid w:val="00D7271E"/>
    <w:rsid w:val="00D72C2B"/>
    <w:rsid w:val="00D72DB5"/>
    <w:rsid w:val="00D763F5"/>
    <w:rsid w:val="00D77126"/>
    <w:rsid w:val="00DA3814"/>
    <w:rsid w:val="00DA4D56"/>
    <w:rsid w:val="00DA5A38"/>
    <w:rsid w:val="00DA7A95"/>
    <w:rsid w:val="00DA7DD6"/>
    <w:rsid w:val="00DB150B"/>
    <w:rsid w:val="00DB305B"/>
    <w:rsid w:val="00DB69F8"/>
    <w:rsid w:val="00DB7083"/>
    <w:rsid w:val="00DB7F01"/>
    <w:rsid w:val="00DC0A58"/>
    <w:rsid w:val="00DC48D1"/>
    <w:rsid w:val="00DC7E0A"/>
    <w:rsid w:val="00DD13EE"/>
    <w:rsid w:val="00DD5458"/>
    <w:rsid w:val="00DE32CB"/>
    <w:rsid w:val="00DF2E14"/>
    <w:rsid w:val="00DF3C24"/>
    <w:rsid w:val="00DF55A1"/>
    <w:rsid w:val="00DF60F3"/>
    <w:rsid w:val="00E050F6"/>
    <w:rsid w:val="00E10DBC"/>
    <w:rsid w:val="00E127CC"/>
    <w:rsid w:val="00E15D98"/>
    <w:rsid w:val="00E16579"/>
    <w:rsid w:val="00E23739"/>
    <w:rsid w:val="00E2420E"/>
    <w:rsid w:val="00E244CF"/>
    <w:rsid w:val="00E26E78"/>
    <w:rsid w:val="00E300C7"/>
    <w:rsid w:val="00E30DF3"/>
    <w:rsid w:val="00E34437"/>
    <w:rsid w:val="00E344E9"/>
    <w:rsid w:val="00E370A6"/>
    <w:rsid w:val="00E50F78"/>
    <w:rsid w:val="00E547B8"/>
    <w:rsid w:val="00E56013"/>
    <w:rsid w:val="00E609C1"/>
    <w:rsid w:val="00E62B68"/>
    <w:rsid w:val="00E62F06"/>
    <w:rsid w:val="00E725E4"/>
    <w:rsid w:val="00E74ADE"/>
    <w:rsid w:val="00E761DA"/>
    <w:rsid w:val="00E76A5C"/>
    <w:rsid w:val="00E80D8A"/>
    <w:rsid w:val="00E84F39"/>
    <w:rsid w:val="00E853B4"/>
    <w:rsid w:val="00E86FB5"/>
    <w:rsid w:val="00E93087"/>
    <w:rsid w:val="00E9492C"/>
    <w:rsid w:val="00E963CA"/>
    <w:rsid w:val="00EA278B"/>
    <w:rsid w:val="00EA2C89"/>
    <w:rsid w:val="00EA5576"/>
    <w:rsid w:val="00EA5CE4"/>
    <w:rsid w:val="00EA5D0D"/>
    <w:rsid w:val="00EB017D"/>
    <w:rsid w:val="00EB3155"/>
    <w:rsid w:val="00EB3431"/>
    <w:rsid w:val="00EB43DA"/>
    <w:rsid w:val="00EC2100"/>
    <w:rsid w:val="00EC3941"/>
    <w:rsid w:val="00EC7716"/>
    <w:rsid w:val="00ED1465"/>
    <w:rsid w:val="00ED21B2"/>
    <w:rsid w:val="00ED53D1"/>
    <w:rsid w:val="00ED78DC"/>
    <w:rsid w:val="00EE0BBB"/>
    <w:rsid w:val="00EE48F4"/>
    <w:rsid w:val="00EF20C5"/>
    <w:rsid w:val="00F020AC"/>
    <w:rsid w:val="00F02B65"/>
    <w:rsid w:val="00F05124"/>
    <w:rsid w:val="00F05CA4"/>
    <w:rsid w:val="00F133DE"/>
    <w:rsid w:val="00F1436C"/>
    <w:rsid w:val="00F15302"/>
    <w:rsid w:val="00F20E99"/>
    <w:rsid w:val="00F20F21"/>
    <w:rsid w:val="00F23B77"/>
    <w:rsid w:val="00F3028E"/>
    <w:rsid w:val="00F3319E"/>
    <w:rsid w:val="00F44C2E"/>
    <w:rsid w:val="00F47C34"/>
    <w:rsid w:val="00F500E5"/>
    <w:rsid w:val="00F504F8"/>
    <w:rsid w:val="00F50CE1"/>
    <w:rsid w:val="00F60580"/>
    <w:rsid w:val="00F60CA6"/>
    <w:rsid w:val="00F62DD6"/>
    <w:rsid w:val="00F630A2"/>
    <w:rsid w:val="00F636C1"/>
    <w:rsid w:val="00F64E3A"/>
    <w:rsid w:val="00F672A0"/>
    <w:rsid w:val="00F675B3"/>
    <w:rsid w:val="00F80704"/>
    <w:rsid w:val="00F822E8"/>
    <w:rsid w:val="00F82CBE"/>
    <w:rsid w:val="00F85024"/>
    <w:rsid w:val="00F85BB4"/>
    <w:rsid w:val="00F905DE"/>
    <w:rsid w:val="00F94F19"/>
    <w:rsid w:val="00F950CA"/>
    <w:rsid w:val="00FA34CE"/>
    <w:rsid w:val="00FA3F1B"/>
    <w:rsid w:val="00FA4F7D"/>
    <w:rsid w:val="00FB465C"/>
    <w:rsid w:val="00FB575E"/>
    <w:rsid w:val="00FB6479"/>
    <w:rsid w:val="00FC05CA"/>
    <w:rsid w:val="00FC46ED"/>
    <w:rsid w:val="00FC52DA"/>
    <w:rsid w:val="00FC5999"/>
    <w:rsid w:val="00FC60B6"/>
    <w:rsid w:val="00FC6206"/>
    <w:rsid w:val="00FC64DE"/>
    <w:rsid w:val="00FC6C29"/>
    <w:rsid w:val="00FC7A51"/>
    <w:rsid w:val="00FD68E4"/>
    <w:rsid w:val="00FD7372"/>
    <w:rsid w:val="00FE21D5"/>
    <w:rsid w:val="00FE23F2"/>
    <w:rsid w:val="00FE2B49"/>
    <w:rsid w:val="00FE2CF6"/>
    <w:rsid w:val="00FF11CE"/>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Bullet" w:uiPriority="0"/>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 w:type="paragraph" w:styleId="ListBullet">
    <w:name w:val="List Bullet"/>
    <w:basedOn w:val="BodyText"/>
    <w:rsid w:val="00403C0A"/>
    <w:pPr>
      <w:numPr>
        <w:numId w:val="17"/>
      </w:numPr>
      <w:tabs>
        <w:tab w:val="clear" w:pos="1985"/>
      </w:tabs>
      <w:spacing w:before="0" w:line="260" w:lineRule="atLeast"/>
    </w:pPr>
    <w:rPr>
      <w:rFonts w:eastAsia="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Bullet" w:uiPriority="0"/>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 w:type="paragraph" w:styleId="ListBullet">
    <w:name w:val="List Bullet"/>
    <w:basedOn w:val="BodyText"/>
    <w:rsid w:val="00403C0A"/>
    <w:pPr>
      <w:numPr>
        <w:numId w:val="17"/>
      </w:numPr>
      <w:tabs>
        <w:tab w:val="clear" w:pos="1985"/>
      </w:tabs>
      <w:spacing w:before="0" w:line="260" w:lineRule="atLeast"/>
    </w:pPr>
    <w:rPr>
      <w:rFonts w:eastAsia="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F9E1-10BF-41D4-8400-8FC0DD91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7582337D</Template>
  <TotalTime>54</TotalTime>
  <Pages>8</Pages>
  <Words>2429</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O'Hara</dc:creator>
  <cp:lastModifiedBy>Emily Whitrod</cp:lastModifiedBy>
  <cp:revision>8</cp:revision>
  <cp:lastPrinted>2015-12-15T04:26:00Z</cp:lastPrinted>
  <dcterms:created xsi:type="dcterms:W3CDTF">2015-12-09T02:27:00Z</dcterms:created>
  <dcterms:modified xsi:type="dcterms:W3CDTF">2015-12-15T06:37:00Z</dcterms:modified>
</cp:coreProperties>
</file>