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CB" w:rsidRPr="00B2252C" w:rsidRDefault="00203E6E" w:rsidP="003A73CA">
      <w:pPr>
        <w:pStyle w:val="Subtitle"/>
        <w:tabs>
          <w:tab w:val="left" w:pos="720"/>
          <w:tab w:val="left" w:pos="1440"/>
          <w:tab w:val="left" w:pos="2160"/>
          <w:tab w:val="left" w:pos="2880"/>
          <w:tab w:val="left" w:pos="3600"/>
          <w:tab w:val="left" w:pos="4320"/>
          <w:tab w:val="left" w:pos="4767"/>
        </w:tabs>
        <w:spacing w:after="0" w:line="240" w:lineRule="auto"/>
        <w:ind w:left="720" w:hanging="720"/>
        <w:rPr>
          <w:color w:val="auto"/>
          <w:spacing w:val="0"/>
          <w14:cntxtAlts/>
        </w:rPr>
      </w:pPr>
      <w:r w:rsidRPr="00B2252C">
        <w:rPr>
          <w:b/>
          <w:i w:val="0"/>
          <w:noProof/>
          <w:color w:val="auto"/>
          <w:spacing w:val="0"/>
          <w14:cntxtAlts/>
        </w:rPr>
        <mc:AlternateContent>
          <mc:Choice Requires="wps">
            <w:drawing>
              <wp:anchor distT="0" distB="0" distL="114300" distR="114300" simplePos="0" relativeHeight="251658240" behindDoc="0" locked="0" layoutInCell="1" allowOverlap="1" wp14:anchorId="3AEB6DD1" wp14:editId="74E0BC4C">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5812" w:rsidRPr="00384A60" w:rsidRDefault="00135812" w:rsidP="00762980">
                            <w:pPr>
                              <w:rPr>
                                <w:rFonts w:cs="Arial"/>
                                <w:b/>
                                <w:color w:val="FFFFFF" w:themeColor="background1"/>
                                <w:sz w:val="28"/>
                                <w:szCs w:val="28"/>
                              </w:rPr>
                            </w:pPr>
                            <w:r w:rsidRPr="00384A60">
                              <w:rPr>
                                <w:rFonts w:cs="Arial"/>
                                <w:b/>
                                <w:color w:val="FFFFFF" w:themeColor="background1"/>
                                <w:sz w:val="28"/>
                                <w:szCs w:val="28"/>
                              </w:rPr>
                              <w:t>Ratings Review Panel</w:t>
                            </w:r>
                          </w:p>
                          <w:p w:rsidR="00135812" w:rsidRPr="00384A60" w:rsidRDefault="00135812"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EB6DD1" id="Rectangle 7" o:spid="_x0000_s1026" style="position:absolute;left:0;text-align:left;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135812" w:rsidRPr="00384A60" w:rsidRDefault="00135812" w:rsidP="00762980">
                      <w:pPr>
                        <w:rPr>
                          <w:rFonts w:cs="Arial"/>
                          <w:b/>
                          <w:color w:val="FFFFFF" w:themeColor="background1"/>
                          <w:sz w:val="28"/>
                          <w:szCs w:val="28"/>
                        </w:rPr>
                      </w:pPr>
                      <w:r w:rsidRPr="00384A60">
                        <w:rPr>
                          <w:rFonts w:cs="Arial"/>
                          <w:b/>
                          <w:color w:val="FFFFFF" w:themeColor="background1"/>
                          <w:sz w:val="28"/>
                          <w:szCs w:val="28"/>
                        </w:rPr>
                        <w:t>Ratings Review Panel</w:t>
                      </w:r>
                    </w:p>
                    <w:p w:rsidR="00135812" w:rsidRPr="00384A60" w:rsidRDefault="00135812"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B057CB" w:rsidRPr="00B2252C">
        <w:rPr>
          <w:b/>
          <w:i w:val="0"/>
          <w:color w:val="auto"/>
          <w:spacing w:val="0"/>
          <w14:cntxtAlts/>
        </w:rPr>
        <w:t xml:space="preserve">Date of Decision: </w:t>
      </w:r>
      <w:r w:rsidR="00384A60" w:rsidRPr="00B2252C">
        <w:rPr>
          <w:b/>
          <w:i w:val="0"/>
          <w:color w:val="auto"/>
          <w:spacing w:val="0"/>
          <w14:cntxtAlts/>
        </w:rPr>
        <w:t xml:space="preserve">       </w:t>
      </w:r>
      <w:r w:rsidR="00254885" w:rsidRPr="00B2252C">
        <w:rPr>
          <w:b/>
          <w:i w:val="0"/>
          <w:color w:val="auto"/>
          <w:spacing w:val="0"/>
          <w14:cntxtAlts/>
        </w:rPr>
        <w:tab/>
      </w:r>
      <w:r w:rsidR="0061326A" w:rsidRPr="00B2252C">
        <w:rPr>
          <w:b/>
          <w:i w:val="0"/>
          <w:color w:val="auto"/>
          <w:spacing w:val="0"/>
          <w14:cntxtAlts/>
        </w:rPr>
        <w:t>19 January 2018</w:t>
      </w:r>
    </w:p>
    <w:p w:rsidR="00B057CB" w:rsidRPr="00B2252C" w:rsidRDefault="00B057CB" w:rsidP="003A73CA">
      <w:pPr>
        <w:pStyle w:val="Heading1"/>
        <w:spacing w:before="0" w:line="240" w:lineRule="auto"/>
        <w:rPr>
          <w:sz w:val="24"/>
          <w:szCs w:val="24"/>
          <w14:cntxtAlts/>
        </w:rPr>
      </w:pPr>
      <w:r w:rsidRPr="00B2252C">
        <w:rPr>
          <w:sz w:val="24"/>
          <w:szCs w:val="24"/>
          <w14:cntxtAlts/>
        </w:rPr>
        <w:t>File number:</w:t>
      </w:r>
      <w:r w:rsidRPr="00B2252C">
        <w:rPr>
          <w:sz w:val="24"/>
          <w:szCs w:val="24"/>
          <w14:cntxtAlts/>
        </w:rPr>
        <w:tab/>
      </w:r>
      <w:r w:rsidRPr="00B2252C">
        <w:rPr>
          <w:sz w:val="24"/>
          <w:szCs w:val="24"/>
          <w14:cntxtAlts/>
        </w:rPr>
        <w:tab/>
        <w:t>STR</w:t>
      </w:r>
      <w:r w:rsidR="0061326A" w:rsidRPr="00B2252C">
        <w:rPr>
          <w:sz w:val="24"/>
          <w:szCs w:val="24"/>
          <w14:cntxtAlts/>
        </w:rPr>
        <w:t>0028</w:t>
      </w:r>
    </w:p>
    <w:p w:rsidR="00B057CB" w:rsidRPr="00B2252C" w:rsidRDefault="00B057CB" w:rsidP="003A73CA">
      <w:pPr>
        <w:pStyle w:val="Horizontalline"/>
        <w:rPr>
          <w:sz w:val="24"/>
          <w:szCs w:val="24"/>
          <w14:cntxtAlts/>
        </w:rPr>
      </w:pPr>
    </w:p>
    <w:p w:rsidR="0030433B" w:rsidRDefault="0030433B" w:rsidP="003A73CA">
      <w:pPr>
        <w:spacing w:before="0" w:after="0" w:line="240" w:lineRule="auto"/>
        <w:ind w:left="2880" w:hanging="2880"/>
        <w:rPr>
          <w:rFonts w:eastAsia="Batang"/>
          <w:b/>
          <w:sz w:val="24"/>
          <w:szCs w:val="24"/>
          <w:lang w:eastAsia="ko-KR"/>
          <w14:cntxtAlts/>
        </w:rPr>
      </w:pPr>
    </w:p>
    <w:p w:rsidR="00EB3155" w:rsidRPr="00B2252C" w:rsidRDefault="00E85D77" w:rsidP="003A73CA">
      <w:pPr>
        <w:spacing w:before="0" w:after="0" w:line="240" w:lineRule="auto"/>
        <w:ind w:left="2880" w:hanging="2880"/>
        <w:rPr>
          <w:sz w:val="24"/>
          <w:szCs w:val="24"/>
          <w14:cntxtAlts/>
        </w:rPr>
      </w:pPr>
      <w:r w:rsidRPr="00B2252C">
        <w:rPr>
          <w:rFonts w:eastAsia="Batang"/>
          <w:b/>
          <w:sz w:val="24"/>
          <w:szCs w:val="24"/>
          <w:lang w:eastAsia="ko-KR"/>
          <w14:cntxtAlts/>
        </w:rPr>
        <w:t>Applicant</w:t>
      </w:r>
      <w:r w:rsidR="00D5603F" w:rsidRPr="00B2252C">
        <w:rPr>
          <w:rFonts w:eastAsia="Batang"/>
          <w:b/>
          <w:sz w:val="24"/>
          <w:szCs w:val="24"/>
          <w:lang w:eastAsia="ko-KR"/>
          <w14:cntxtAlts/>
        </w:rPr>
        <w:t>:</w:t>
      </w:r>
      <w:r w:rsidR="00D5603F" w:rsidRPr="00B2252C">
        <w:rPr>
          <w:sz w:val="24"/>
          <w:szCs w:val="24"/>
          <w14:cntxtAlts/>
        </w:rPr>
        <w:tab/>
      </w:r>
      <w:r w:rsidR="0030433B">
        <w:rPr>
          <w:sz w:val="24"/>
          <w:szCs w:val="24"/>
          <w14:cntxtAlts/>
        </w:rPr>
        <w:t xml:space="preserve">‘Approved provider’ </w:t>
      </w:r>
    </w:p>
    <w:p w:rsidR="00B057CB" w:rsidRPr="00E85D77" w:rsidRDefault="00E85D77" w:rsidP="003A73CA">
      <w:pPr>
        <w:spacing w:line="240" w:lineRule="auto"/>
        <w:ind w:left="2835" w:hanging="2835"/>
        <w:rPr>
          <w:sz w:val="24"/>
          <w:szCs w:val="24"/>
          <w14:cntxtAlts/>
        </w:rPr>
      </w:pPr>
      <w:r w:rsidRPr="00B2252C">
        <w:rPr>
          <w:b/>
          <w:sz w:val="24"/>
          <w:szCs w:val="24"/>
          <w14:cntxtAlts/>
        </w:rPr>
        <w:t>Regulatory Authority</w:t>
      </w:r>
      <w:r w:rsidR="00B057CB" w:rsidRPr="00B2252C">
        <w:rPr>
          <w:b/>
          <w:sz w:val="24"/>
          <w:szCs w:val="24"/>
          <w14:cntxtAlts/>
        </w:rPr>
        <w:t>:</w:t>
      </w:r>
      <w:r w:rsidR="00B057CB" w:rsidRPr="00B2252C">
        <w:rPr>
          <w:sz w:val="24"/>
          <w:szCs w:val="24"/>
          <w14:cntxtAlts/>
        </w:rPr>
        <w:t xml:space="preserve">  </w:t>
      </w:r>
      <w:r w:rsidRPr="00B2252C">
        <w:rPr>
          <w:sz w:val="24"/>
          <w:szCs w:val="24"/>
          <w14:cntxtAlts/>
        </w:rPr>
        <w:tab/>
      </w:r>
      <w:r w:rsidR="0061326A" w:rsidRPr="00B2252C">
        <w:rPr>
          <w:sz w:val="24"/>
          <w:szCs w:val="24"/>
        </w:rPr>
        <w:t>NSW Department of Education</w:t>
      </w:r>
    </w:p>
    <w:p w:rsidR="00B057CB" w:rsidRPr="00E85D77" w:rsidRDefault="00B057CB" w:rsidP="003A73CA">
      <w:pPr>
        <w:pStyle w:val="Horizontalline"/>
        <w:rPr>
          <w:sz w:val="24"/>
          <w:szCs w:val="24"/>
          <w14:cntxtAlts/>
        </w:rPr>
      </w:pPr>
    </w:p>
    <w:p w:rsidR="00B057CB" w:rsidRPr="00E85D77" w:rsidRDefault="00B057CB" w:rsidP="003A73CA">
      <w:pPr>
        <w:pStyle w:val="BodyText"/>
        <w:ind w:left="1440" w:hanging="1440"/>
        <w:rPr>
          <w:rFonts w:cs="Arial"/>
          <w:szCs w:val="24"/>
          <w14:cntxtAlts/>
        </w:rPr>
      </w:pPr>
      <w:r w:rsidRPr="00E85D77">
        <w:rPr>
          <w:rStyle w:val="Strong"/>
          <w:rFonts w:cs="Arial"/>
          <w:szCs w:val="24"/>
          <w14:cntxtAlts/>
        </w:rPr>
        <w:t>Decision</w:t>
      </w:r>
      <w:r w:rsidRPr="00E85D77">
        <w:rPr>
          <w:rFonts w:cs="Arial"/>
          <w:szCs w:val="24"/>
          <w14:cntxtAlts/>
        </w:rPr>
        <w:tab/>
      </w:r>
    </w:p>
    <w:p w:rsidR="006B364A" w:rsidRPr="00E85D77" w:rsidRDefault="003E29D9" w:rsidP="003A73CA">
      <w:pPr>
        <w:pStyle w:val="ListParagraph"/>
        <w:spacing w:before="0" w:after="0" w:line="240" w:lineRule="auto"/>
        <w:ind w:left="0"/>
        <w:rPr>
          <w:rFonts w:cs="Arial"/>
          <w:bCs/>
          <w:sz w:val="24"/>
          <w:szCs w:val="24"/>
          <w14:cntxtAlts/>
        </w:rPr>
      </w:pPr>
      <w:r w:rsidRPr="00E85D77">
        <w:rPr>
          <w:rFonts w:cs="Arial"/>
          <w:sz w:val="24"/>
          <w:szCs w:val="24"/>
          <w14:cntxtAlts/>
        </w:rPr>
        <w:t>The Ratings Review Panel (the Panel) by consensus decided to</w:t>
      </w:r>
      <w:r w:rsidR="005D0B93" w:rsidRPr="00E85D77">
        <w:rPr>
          <w:rFonts w:cs="Arial"/>
          <w:sz w:val="24"/>
          <w:szCs w:val="24"/>
          <w14:cntxtAlts/>
        </w:rPr>
        <w:t xml:space="preserve"> </w:t>
      </w:r>
      <w:r w:rsidR="00254885" w:rsidRPr="00E85D77">
        <w:rPr>
          <w:rFonts w:cs="Arial"/>
          <w:sz w:val="24"/>
          <w:szCs w:val="24"/>
          <w14:cntxtAlts/>
        </w:rPr>
        <w:t>amend element</w:t>
      </w:r>
      <w:r w:rsidR="0076043A" w:rsidRPr="00E85D77">
        <w:rPr>
          <w:rFonts w:cs="Arial"/>
          <w:sz w:val="24"/>
          <w:szCs w:val="24"/>
          <w14:cntxtAlts/>
        </w:rPr>
        <w:t xml:space="preserve"> 7.3.3 </w:t>
      </w:r>
      <w:r w:rsidR="005C2D5C" w:rsidRPr="00E85D77">
        <w:rPr>
          <w:rFonts w:cs="Arial"/>
          <w:sz w:val="24"/>
          <w:szCs w:val="24"/>
          <w14:cntxtAlts/>
        </w:rPr>
        <w:t xml:space="preserve">from not met to </w:t>
      </w:r>
      <w:proofErr w:type="spellStart"/>
      <w:proofErr w:type="gramStart"/>
      <w:r w:rsidR="005C2D5C" w:rsidRPr="00E85D77">
        <w:rPr>
          <w:rFonts w:cs="Arial"/>
          <w:sz w:val="24"/>
          <w:szCs w:val="24"/>
          <w14:cntxtAlts/>
        </w:rPr>
        <w:t>met</w:t>
      </w:r>
      <w:proofErr w:type="spellEnd"/>
      <w:proofErr w:type="gramEnd"/>
      <w:r w:rsidR="00254885" w:rsidRPr="00E85D77">
        <w:rPr>
          <w:rFonts w:cs="Arial"/>
          <w:sz w:val="24"/>
          <w:szCs w:val="24"/>
          <w14:cntxtAlts/>
        </w:rPr>
        <w:t xml:space="preserve">. </w:t>
      </w:r>
      <w:r w:rsidR="00C93CCF" w:rsidRPr="00E85D77">
        <w:rPr>
          <w:rFonts w:cs="Arial"/>
          <w:sz w:val="24"/>
          <w:szCs w:val="24"/>
          <w14:cntxtAlts/>
        </w:rPr>
        <w:t>As a result, t</w:t>
      </w:r>
      <w:r w:rsidR="001D3664" w:rsidRPr="00E85D77">
        <w:rPr>
          <w:rFonts w:cs="Arial"/>
          <w:sz w:val="24"/>
          <w:szCs w:val="24"/>
          <w14:cntxtAlts/>
        </w:rPr>
        <w:t xml:space="preserve">he Panel </w:t>
      </w:r>
      <w:r w:rsidR="00254885" w:rsidRPr="00E85D77">
        <w:rPr>
          <w:rFonts w:cs="Arial"/>
          <w:sz w:val="24"/>
          <w:szCs w:val="24"/>
          <w14:cntxtAlts/>
        </w:rPr>
        <w:t>amended</w:t>
      </w:r>
      <w:r w:rsidR="003A52DA" w:rsidRPr="00E85D77">
        <w:rPr>
          <w:rFonts w:cs="Arial"/>
          <w:sz w:val="24"/>
          <w:szCs w:val="24"/>
          <w14:cntxtAlts/>
        </w:rPr>
        <w:t xml:space="preserve"> the rating level for </w:t>
      </w:r>
      <w:r w:rsidR="008B0492" w:rsidRPr="00E85D77">
        <w:rPr>
          <w:rFonts w:cs="Arial"/>
          <w:sz w:val="24"/>
          <w:szCs w:val="24"/>
          <w14:cntxtAlts/>
        </w:rPr>
        <w:t xml:space="preserve">standard </w:t>
      </w:r>
      <w:r w:rsidR="0076043A" w:rsidRPr="00E85D77">
        <w:rPr>
          <w:rFonts w:cs="Arial"/>
          <w:sz w:val="24"/>
          <w:szCs w:val="24"/>
          <w14:cntxtAlts/>
        </w:rPr>
        <w:t>7.3</w:t>
      </w:r>
      <w:r w:rsidR="008B0492" w:rsidRPr="00E85D77">
        <w:rPr>
          <w:rFonts w:cs="Arial"/>
          <w:sz w:val="24"/>
          <w:szCs w:val="24"/>
          <w14:cntxtAlts/>
        </w:rPr>
        <w:t xml:space="preserve"> </w:t>
      </w:r>
      <w:r w:rsidR="00254885" w:rsidRPr="00E85D77">
        <w:rPr>
          <w:rFonts w:cs="Arial"/>
          <w:sz w:val="24"/>
          <w:szCs w:val="24"/>
          <w14:cntxtAlts/>
        </w:rPr>
        <w:t>to Meeting NQS</w:t>
      </w:r>
      <w:r w:rsidR="003A52DA" w:rsidRPr="00E85D77">
        <w:rPr>
          <w:rFonts w:cs="Arial"/>
          <w:sz w:val="24"/>
          <w:szCs w:val="24"/>
          <w14:cntxtAlts/>
        </w:rPr>
        <w:t>. The Panel</w:t>
      </w:r>
      <w:r w:rsidR="001D3664" w:rsidRPr="00E85D77">
        <w:rPr>
          <w:rFonts w:cs="Arial"/>
          <w:sz w:val="24"/>
          <w:szCs w:val="24"/>
          <w14:cntxtAlts/>
        </w:rPr>
        <w:t xml:space="preserve"> </w:t>
      </w:r>
      <w:r w:rsidR="00254885" w:rsidRPr="00E85D77">
        <w:rPr>
          <w:rFonts w:cs="Arial"/>
          <w:sz w:val="24"/>
          <w:szCs w:val="24"/>
          <w14:cntxtAlts/>
        </w:rPr>
        <w:t>amended</w:t>
      </w:r>
      <w:r w:rsidR="008B0492" w:rsidRPr="00E85D77">
        <w:rPr>
          <w:rFonts w:cs="Arial"/>
          <w:sz w:val="24"/>
          <w:szCs w:val="24"/>
          <w14:cntxtAlts/>
        </w:rPr>
        <w:t xml:space="preserve"> the rating level for Quality Area </w:t>
      </w:r>
      <w:r w:rsidR="0076043A" w:rsidRPr="00E85D77">
        <w:rPr>
          <w:rFonts w:cs="Arial"/>
          <w:sz w:val="24"/>
          <w:szCs w:val="24"/>
          <w14:cntxtAlts/>
        </w:rPr>
        <w:t>7</w:t>
      </w:r>
      <w:r w:rsidR="00254885" w:rsidRPr="00E85D77">
        <w:rPr>
          <w:rFonts w:cs="Arial"/>
          <w:sz w:val="24"/>
          <w:szCs w:val="24"/>
          <w14:cntxtAlts/>
        </w:rPr>
        <w:t xml:space="preserve"> to Meeting</w:t>
      </w:r>
      <w:r w:rsidR="0077450E" w:rsidRPr="00E85D77">
        <w:rPr>
          <w:rStyle w:val="Strong"/>
          <w:rFonts w:cs="Arial"/>
          <w:b w:val="0"/>
          <w:sz w:val="24"/>
          <w:szCs w:val="24"/>
          <w14:cntxtAlts/>
        </w:rPr>
        <w:t xml:space="preserve"> </w:t>
      </w:r>
      <w:r w:rsidR="001D3664" w:rsidRPr="00E85D77">
        <w:rPr>
          <w:rStyle w:val="Strong"/>
          <w:rFonts w:cs="Arial"/>
          <w:b w:val="0"/>
          <w:sz w:val="24"/>
          <w:szCs w:val="24"/>
          <w14:cntxtAlts/>
        </w:rPr>
        <w:t>NQS</w:t>
      </w:r>
      <w:r w:rsidR="00703BBD" w:rsidRPr="00E85D77">
        <w:rPr>
          <w:rStyle w:val="Strong"/>
          <w:rFonts w:cs="Arial"/>
          <w:b w:val="0"/>
          <w:sz w:val="24"/>
          <w:szCs w:val="24"/>
          <w14:cntxtAlts/>
        </w:rPr>
        <w:t>, and t</w:t>
      </w:r>
      <w:r w:rsidR="006B364A" w:rsidRPr="00E85D77">
        <w:rPr>
          <w:rStyle w:val="Strong"/>
          <w:rFonts w:cs="Arial"/>
          <w:b w:val="0"/>
          <w:sz w:val="24"/>
          <w:szCs w:val="24"/>
          <w14:cntxtAlts/>
        </w:rPr>
        <w:t>he service</w:t>
      </w:r>
      <w:r w:rsidR="00703BBD" w:rsidRPr="00E85D77">
        <w:rPr>
          <w:rStyle w:val="Strong"/>
          <w:rFonts w:cs="Arial"/>
          <w:b w:val="0"/>
          <w:sz w:val="24"/>
          <w:szCs w:val="24"/>
          <w14:cntxtAlts/>
        </w:rPr>
        <w:t>’s overall rating</w:t>
      </w:r>
      <w:r w:rsidR="00ED78DC" w:rsidRPr="00E85D77">
        <w:rPr>
          <w:rStyle w:val="Strong"/>
          <w:rFonts w:cs="Arial"/>
          <w:b w:val="0"/>
          <w:sz w:val="24"/>
          <w:szCs w:val="24"/>
          <w14:cntxtAlts/>
        </w:rPr>
        <w:t xml:space="preserve"> </w:t>
      </w:r>
      <w:r w:rsidR="00254885" w:rsidRPr="00E85D77">
        <w:rPr>
          <w:rStyle w:val="Strong"/>
          <w:rFonts w:cs="Arial"/>
          <w:b w:val="0"/>
          <w:sz w:val="24"/>
          <w:szCs w:val="24"/>
          <w14:cntxtAlts/>
        </w:rPr>
        <w:t>is amended to Meeting</w:t>
      </w:r>
      <w:r w:rsidR="008B0492" w:rsidRPr="00E85D77">
        <w:rPr>
          <w:rStyle w:val="Strong"/>
          <w:rFonts w:cs="Arial"/>
          <w:b w:val="0"/>
          <w:sz w:val="24"/>
          <w:szCs w:val="24"/>
          <w14:cntxtAlts/>
        </w:rPr>
        <w:t xml:space="preserve"> NQS</w:t>
      </w:r>
      <w:r w:rsidR="006B364A" w:rsidRPr="00E85D77">
        <w:rPr>
          <w:rFonts w:cs="Arial"/>
          <w:sz w:val="24"/>
          <w:szCs w:val="24"/>
          <w14:cntxtAlts/>
        </w:rPr>
        <w:t>.</w:t>
      </w:r>
    </w:p>
    <w:p w:rsidR="004C0DC9" w:rsidRPr="00E85D77" w:rsidRDefault="0074689B" w:rsidP="003A73CA">
      <w:pPr>
        <w:pStyle w:val="ListNumber"/>
        <w:numPr>
          <w:ilvl w:val="0"/>
          <w:numId w:val="0"/>
        </w:numPr>
        <w:pBdr>
          <w:bottom w:val="single" w:sz="4" w:space="2" w:color="auto"/>
        </w:pBdr>
        <w:rPr>
          <w:szCs w:val="24"/>
          <w14:cntxtAlts/>
        </w:rPr>
      </w:pPr>
      <w:r w:rsidRPr="00E85D77">
        <w:rPr>
          <w:szCs w:val="24"/>
          <w14:cntxtAlts/>
        </w:rPr>
        <w:t xml:space="preserve"> </w:t>
      </w:r>
    </w:p>
    <w:p w:rsidR="00B057CB" w:rsidRPr="00E85D77" w:rsidRDefault="00B057CB" w:rsidP="00C15B5F">
      <w:pPr>
        <w:spacing w:after="0" w:line="240" w:lineRule="auto"/>
        <w:rPr>
          <w:rFonts w:cs="Arial"/>
          <w:b/>
          <w:sz w:val="24"/>
          <w:szCs w:val="24"/>
          <w14:cntxtAlts/>
        </w:rPr>
      </w:pPr>
      <w:r w:rsidRPr="00E85D77">
        <w:rPr>
          <w:rFonts w:cs="Arial"/>
          <w:b/>
          <w:sz w:val="24"/>
          <w:szCs w:val="24"/>
          <w14:cntxtAlts/>
        </w:rPr>
        <w:t>Issues under review</w:t>
      </w:r>
    </w:p>
    <w:p w:rsidR="00E609C1" w:rsidRPr="00E85D77" w:rsidRDefault="00795CC3" w:rsidP="003A73CA">
      <w:pPr>
        <w:pStyle w:val="ListParagraph"/>
        <w:numPr>
          <w:ilvl w:val="0"/>
          <w:numId w:val="2"/>
        </w:numPr>
        <w:spacing w:before="240" w:line="240" w:lineRule="auto"/>
        <w:contextualSpacing w:val="0"/>
        <w:rPr>
          <w:sz w:val="24"/>
          <w:szCs w:val="24"/>
        </w:rPr>
      </w:pPr>
      <w:r>
        <w:rPr>
          <w:sz w:val="24"/>
          <w:szCs w:val="24"/>
        </w:rPr>
        <w:t xml:space="preserve">The approved provider </w:t>
      </w:r>
      <w:r w:rsidR="00ED78DC" w:rsidRPr="00E85D77">
        <w:rPr>
          <w:sz w:val="24"/>
          <w:szCs w:val="24"/>
        </w:rPr>
        <w:t>sought a review on the grounds that the regulatory authority</w:t>
      </w:r>
      <w:r w:rsidR="00C46E93">
        <w:rPr>
          <w:sz w:val="24"/>
          <w:szCs w:val="24"/>
        </w:rPr>
        <w:t>,</w:t>
      </w:r>
      <w:r w:rsidR="00ED78DC" w:rsidRPr="00E85D77">
        <w:rPr>
          <w:sz w:val="24"/>
          <w:szCs w:val="24"/>
        </w:rPr>
        <w:t xml:space="preserve"> in making its determination, failed to take into account or give sufficient weight to facts existing at the time of the rating assessment (section 144(3)(b) </w:t>
      </w:r>
      <w:r w:rsidR="00ED78DC" w:rsidRPr="00E85D77">
        <w:rPr>
          <w:rFonts w:cs="Arial"/>
          <w:i/>
          <w:iCs/>
          <w:sz w:val="24"/>
          <w:szCs w:val="24"/>
        </w:rPr>
        <w:t xml:space="preserve">Education and Care Services National Law </w:t>
      </w:r>
      <w:r w:rsidR="00ED78DC" w:rsidRPr="00E85D77">
        <w:rPr>
          <w:rFonts w:cs="Arial"/>
          <w:sz w:val="24"/>
          <w:szCs w:val="24"/>
        </w:rPr>
        <w:t>(National Law)</w:t>
      </w:r>
      <w:r w:rsidR="00ED78DC" w:rsidRPr="00E85D77">
        <w:rPr>
          <w:sz w:val="24"/>
          <w:szCs w:val="24"/>
        </w:rPr>
        <w:t>).</w:t>
      </w:r>
    </w:p>
    <w:p w:rsidR="00B973ED" w:rsidRPr="00E85D77" w:rsidRDefault="00B973ED" w:rsidP="003A73CA">
      <w:pPr>
        <w:pStyle w:val="ListParagraph"/>
        <w:numPr>
          <w:ilvl w:val="0"/>
          <w:numId w:val="2"/>
        </w:numPr>
        <w:spacing w:before="0" w:line="240" w:lineRule="auto"/>
        <w:contextualSpacing w:val="0"/>
        <w:rPr>
          <w:sz w:val="24"/>
          <w:szCs w:val="24"/>
        </w:rPr>
      </w:pPr>
      <w:r w:rsidRPr="009D743A">
        <w:rPr>
          <w:sz w:val="24"/>
          <w:szCs w:val="24"/>
        </w:rPr>
        <w:t xml:space="preserve">At Assessment and Rating, the service was rated as Working </w:t>
      </w:r>
      <w:proofErr w:type="gramStart"/>
      <w:r w:rsidRPr="009D743A">
        <w:rPr>
          <w:sz w:val="24"/>
          <w:szCs w:val="24"/>
        </w:rPr>
        <w:t>Towards</w:t>
      </w:r>
      <w:proofErr w:type="gramEnd"/>
      <w:r w:rsidRPr="009D743A">
        <w:rPr>
          <w:sz w:val="24"/>
          <w:szCs w:val="24"/>
        </w:rPr>
        <w:t xml:space="preserve"> NQS for Quality Areas 1,</w:t>
      </w:r>
      <w:r w:rsidR="00C46E93">
        <w:rPr>
          <w:sz w:val="24"/>
          <w:szCs w:val="24"/>
        </w:rPr>
        <w:t xml:space="preserve"> </w:t>
      </w:r>
      <w:r w:rsidRPr="009D743A">
        <w:rPr>
          <w:sz w:val="24"/>
          <w:szCs w:val="24"/>
        </w:rPr>
        <w:t>2 and 7 and Meeting</w:t>
      </w:r>
      <w:r w:rsidRPr="00E85D77">
        <w:rPr>
          <w:sz w:val="24"/>
          <w:szCs w:val="24"/>
        </w:rPr>
        <w:t xml:space="preserve"> NQS for Quality Areas 3, 4, 5 and 6. The approved provider applied for first tier review to review three elements that were rated ‘not met’: elements 1.2.1, 2.3.1 and 7.3.3. </w:t>
      </w:r>
    </w:p>
    <w:p w:rsidR="00B973ED" w:rsidRPr="00834EDE" w:rsidRDefault="00B973ED" w:rsidP="003A73CA">
      <w:pPr>
        <w:pStyle w:val="ListParagraph"/>
        <w:numPr>
          <w:ilvl w:val="0"/>
          <w:numId w:val="2"/>
        </w:numPr>
        <w:spacing w:line="240" w:lineRule="auto"/>
        <w:contextualSpacing w:val="0"/>
        <w:rPr>
          <w:sz w:val="24"/>
          <w:szCs w:val="24"/>
        </w:rPr>
      </w:pPr>
      <w:r w:rsidRPr="00834EDE">
        <w:rPr>
          <w:sz w:val="24"/>
          <w:szCs w:val="24"/>
        </w:rPr>
        <w:t>At first tier review, the regulatory authority amended elements 1.2.1 and 2.3.1 to ‘</w:t>
      </w:r>
      <w:proofErr w:type="gramStart"/>
      <w:r w:rsidRPr="00834EDE">
        <w:rPr>
          <w:sz w:val="24"/>
          <w:szCs w:val="24"/>
        </w:rPr>
        <w:t>met</w:t>
      </w:r>
      <w:proofErr w:type="gramEnd"/>
      <w:r w:rsidRPr="00834EDE">
        <w:rPr>
          <w:sz w:val="24"/>
          <w:szCs w:val="24"/>
        </w:rPr>
        <w:t xml:space="preserve">’; however it determined that there was insufficient evidence for element 7.3.3 to be amended to ‘met’. In making its determination, the regulatory authority agreed with the authorised officer’s assessment that the </w:t>
      </w:r>
      <w:r w:rsidR="00795CC3">
        <w:rPr>
          <w:sz w:val="24"/>
          <w:szCs w:val="24"/>
        </w:rPr>
        <w:t xml:space="preserve">approved </w:t>
      </w:r>
      <w:r w:rsidRPr="00834EDE">
        <w:rPr>
          <w:sz w:val="24"/>
          <w:szCs w:val="24"/>
        </w:rPr>
        <w:t xml:space="preserve">provider did not notify the regulatory authority of a circumstance (the replacement of a boundary fence) that posed a risk to children’s health, safety or wellbeing in accordance with section 174(2)(c) of the National Law. </w:t>
      </w:r>
      <w:r w:rsidR="00834EDE" w:rsidRPr="00834EDE">
        <w:rPr>
          <w:sz w:val="24"/>
          <w:szCs w:val="24"/>
        </w:rPr>
        <w:tab/>
      </w:r>
    </w:p>
    <w:p w:rsidR="00834EDE" w:rsidRDefault="00B973ED" w:rsidP="003A73CA">
      <w:pPr>
        <w:pStyle w:val="ListParagraph"/>
        <w:numPr>
          <w:ilvl w:val="0"/>
          <w:numId w:val="2"/>
        </w:numPr>
        <w:spacing w:before="0" w:line="240" w:lineRule="auto"/>
        <w:contextualSpacing w:val="0"/>
        <w:rPr>
          <w:sz w:val="24"/>
          <w:szCs w:val="24"/>
        </w:rPr>
      </w:pPr>
      <w:r w:rsidRPr="00834EDE">
        <w:rPr>
          <w:sz w:val="24"/>
          <w:szCs w:val="24"/>
        </w:rPr>
        <w:t xml:space="preserve">The regulatory authority also noted that the </w:t>
      </w:r>
      <w:r w:rsidR="00795CC3">
        <w:rPr>
          <w:sz w:val="24"/>
          <w:szCs w:val="24"/>
        </w:rPr>
        <w:t xml:space="preserve">approved </w:t>
      </w:r>
      <w:r w:rsidRPr="00834EDE">
        <w:rPr>
          <w:sz w:val="24"/>
          <w:szCs w:val="24"/>
        </w:rPr>
        <w:t>provider did not submit any evidence to support its claim at first tier review that the boundary fence had been installed on a weekend and therefore did not pose a risk to children’s health, safety or wellbeing.</w:t>
      </w:r>
    </w:p>
    <w:p w:rsidR="00B973ED" w:rsidRPr="009A617C" w:rsidRDefault="00807AFE" w:rsidP="009A617C">
      <w:pPr>
        <w:pStyle w:val="ListParagraph"/>
        <w:numPr>
          <w:ilvl w:val="0"/>
          <w:numId w:val="2"/>
        </w:numPr>
        <w:spacing w:before="0" w:after="360" w:line="240" w:lineRule="auto"/>
        <w:contextualSpacing w:val="0"/>
        <w:rPr>
          <w:sz w:val="24"/>
          <w:szCs w:val="24"/>
        </w:rPr>
      </w:pPr>
      <w:r w:rsidRPr="009A617C">
        <w:rPr>
          <w:sz w:val="24"/>
          <w:szCs w:val="24"/>
        </w:rPr>
        <w:t>At second tier review, the</w:t>
      </w:r>
      <w:r w:rsidR="00795CC3" w:rsidRPr="009A617C">
        <w:rPr>
          <w:sz w:val="24"/>
          <w:szCs w:val="24"/>
        </w:rPr>
        <w:t xml:space="preserve"> approved</w:t>
      </w:r>
      <w:r w:rsidR="00B973ED" w:rsidRPr="009A617C">
        <w:rPr>
          <w:sz w:val="24"/>
          <w:szCs w:val="24"/>
        </w:rPr>
        <w:t xml:space="preserve"> provider submit</w:t>
      </w:r>
      <w:r w:rsidRPr="009A617C">
        <w:rPr>
          <w:sz w:val="24"/>
          <w:szCs w:val="24"/>
        </w:rPr>
        <w:t>ted</w:t>
      </w:r>
      <w:r w:rsidR="00B973ED" w:rsidRPr="009A617C">
        <w:rPr>
          <w:sz w:val="24"/>
          <w:szCs w:val="24"/>
        </w:rPr>
        <w:t xml:space="preserve"> a letter from </w:t>
      </w:r>
      <w:r w:rsidRPr="009A617C">
        <w:rPr>
          <w:sz w:val="24"/>
          <w:szCs w:val="24"/>
        </w:rPr>
        <w:t>the</w:t>
      </w:r>
      <w:r w:rsidR="00B973ED" w:rsidRPr="009A617C">
        <w:rPr>
          <w:sz w:val="24"/>
          <w:szCs w:val="24"/>
        </w:rPr>
        <w:t xml:space="preserve"> </w:t>
      </w:r>
      <w:r w:rsidRPr="009A617C">
        <w:rPr>
          <w:sz w:val="24"/>
          <w:szCs w:val="24"/>
        </w:rPr>
        <w:t xml:space="preserve">landscaping and </w:t>
      </w:r>
      <w:r w:rsidR="00B973ED" w:rsidRPr="009A617C">
        <w:rPr>
          <w:sz w:val="24"/>
          <w:szCs w:val="24"/>
        </w:rPr>
        <w:t>fencing contractor</w:t>
      </w:r>
      <w:r w:rsidRPr="009A617C">
        <w:rPr>
          <w:sz w:val="24"/>
          <w:szCs w:val="24"/>
        </w:rPr>
        <w:t xml:space="preserve"> </w:t>
      </w:r>
      <w:r w:rsidR="00D52EA6">
        <w:rPr>
          <w:sz w:val="24"/>
          <w:szCs w:val="24"/>
        </w:rPr>
        <w:t xml:space="preserve">(‘the contractor’) </w:t>
      </w:r>
      <w:r w:rsidRPr="009A617C">
        <w:rPr>
          <w:sz w:val="24"/>
          <w:szCs w:val="24"/>
        </w:rPr>
        <w:t>that replaced the fence which stated</w:t>
      </w:r>
      <w:r w:rsidR="00B973ED" w:rsidRPr="009A617C">
        <w:rPr>
          <w:sz w:val="24"/>
          <w:szCs w:val="24"/>
        </w:rPr>
        <w:t xml:space="preserve"> that the fence replacement took place on a weekend</w:t>
      </w:r>
      <w:r w:rsidRPr="009A617C">
        <w:rPr>
          <w:sz w:val="24"/>
          <w:szCs w:val="24"/>
        </w:rPr>
        <w:t xml:space="preserve">. The approved provider </w:t>
      </w:r>
      <w:r w:rsidR="009A617C" w:rsidRPr="009A617C">
        <w:rPr>
          <w:sz w:val="24"/>
          <w:szCs w:val="24"/>
        </w:rPr>
        <w:t xml:space="preserve">asserted that it did not provide this letter at first tier review because it </w:t>
      </w:r>
      <w:r w:rsidR="00B973ED" w:rsidRPr="009A617C">
        <w:rPr>
          <w:sz w:val="24"/>
          <w:szCs w:val="24"/>
        </w:rPr>
        <w:t>believed that it had provided sufficient information to the review.</w:t>
      </w:r>
    </w:p>
    <w:p w:rsidR="00B057CB" w:rsidRPr="00E85D77" w:rsidRDefault="00B057CB" w:rsidP="003A73CA">
      <w:pPr>
        <w:spacing w:before="0" w:after="0" w:line="240" w:lineRule="auto"/>
        <w:rPr>
          <w:rFonts w:cs="Arial"/>
          <w:b/>
          <w:sz w:val="24"/>
          <w:szCs w:val="24"/>
          <w14:cntxtAlts/>
        </w:rPr>
      </w:pPr>
      <w:r w:rsidRPr="00E85D77">
        <w:rPr>
          <w:rFonts w:cs="Arial"/>
          <w:b/>
          <w:sz w:val="24"/>
          <w:szCs w:val="24"/>
          <w14:cntxtAlts/>
        </w:rPr>
        <w:lastRenderedPageBreak/>
        <w:t>Evidence before the panel</w:t>
      </w:r>
    </w:p>
    <w:p w:rsidR="00E85D77" w:rsidRPr="00E85D77" w:rsidRDefault="00E85D77" w:rsidP="003A73CA">
      <w:pPr>
        <w:pStyle w:val="ListParagraph"/>
        <w:numPr>
          <w:ilvl w:val="0"/>
          <w:numId w:val="2"/>
        </w:numPr>
        <w:spacing w:line="240" w:lineRule="auto"/>
        <w:rPr>
          <w:sz w:val="24"/>
          <w:szCs w:val="24"/>
        </w:rPr>
      </w:pPr>
      <w:r w:rsidRPr="00E85D77">
        <w:rPr>
          <w:sz w:val="24"/>
          <w:szCs w:val="24"/>
        </w:rPr>
        <w:t xml:space="preserve">The ratings review panel established by ACECQA </w:t>
      </w:r>
      <w:r w:rsidR="001D1752">
        <w:rPr>
          <w:sz w:val="24"/>
          <w:szCs w:val="24"/>
        </w:rPr>
        <w:t xml:space="preserve">were provided with the following </w:t>
      </w:r>
      <w:r w:rsidRPr="00E85D77">
        <w:rPr>
          <w:sz w:val="24"/>
          <w:szCs w:val="24"/>
        </w:rPr>
        <w:t>evidence submitted by the provider and the regulatory authority. This included:</w:t>
      </w:r>
    </w:p>
    <w:tbl>
      <w:tblPr>
        <w:tblW w:w="9781" w:type="dxa"/>
        <w:tblInd w:w="250" w:type="dxa"/>
        <w:tblCellMar>
          <w:left w:w="0" w:type="dxa"/>
          <w:right w:w="0" w:type="dxa"/>
        </w:tblCellMar>
        <w:tblLook w:val="04A0" w:firstRow="1" w:lastRow="0" w:firstColumn="1" w:lastColumn="0" w:noHBand="0" w:noVBand="1"/>
      </w:tblPr>
      <w:tblGrid>
        <w:gridCol w:w="709"/>
        <w:gridCol w:w="2410"/>
        <w:gridCol w:w="6662"/>
      </w:tblGrid>
      <w:tr w:rsidR="00E85D77" w:rsidRPr="005B4868" w:rsidTr="003C40B7">
        <w:trPr>
          <w:trHeight w:val="364"/>
        </w:trPr>
        <w:tc>
          <w:tcPr>
            <w:tcW w:w="709" w:type="dxa"/>
            <w:tcBorders>
              <w:top w:val="single" w:sz="8"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b/>
                <w:bCs/>
                <w:lang w:eastAsia="en-US"/>
              </w:rPr>
            </w:pPr>
            <w:r w:rsidRPr="005B4868">
              <w:rPr>
                <w:rFonts w:cs="Arial"/>
                <w:b/>
                <w:bCs/>
              </w:rPr>
              <w:t>Item</w:t>
            </w:r>
          </w:p>
        </w:tc>
        <w:tc>
          <w:tcPr>
            <w:tcW w:w="2410" w:type="dxa"/>
            <w:tcBorders>
              <w:top w:val="single" w:sz="8" w:space="0" w:color="auto"/>
              <w:left w:val="single" w:sz="4" w:space="0" w:color="auto"/>
              <w:bottom w:val="single" w:sz="8" w:space="0" w:color="auto"/>
              <w:right w:val="single" w:sz="4" w:space="0" w:color="auto"/>
            </w:tcBorders>
            <w:shd w:val="clear" w:color="auto" w:fill="EEECE1"/>
          </w:tcPr>
          <w:p w:rsidR="00E85D77" w:rsidRPr="005B4868" w:rsidRDefault="00E85D77" w:rsidP="003A73CA">
            <w:pPr>
              <w:spacing w:line="240" w:lineRule="auto"/>
              <w:jc w:val="center"/>
              <w:rPr>
                <w:rFonts w:cs="Arial"/>
                <w:b/>
                <w:bCs/>
              </w:rPr>
            </w:pPr>
            <w:r>
              <w:rPr>
                <w:rFonts w:cs="Arial"/>
                <w:b/>
                <w:bCs/>
              </w:rPr>
              <w:t>Document author</w:t>
            </w:r>
          </w:p>
        </w:tc>
        <w:tc>
          <w:tcPr>
            <w:tcW w:w="6662" w:type="dxa"/>
            <w:tcBorders>
              <w:top w:val="single" w:sz="8"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rsidR="00E85D77" w:rsidRPr="005B4868" w:rsidRDefault="00E85D77" w:rsidP="003A73CA">
            <w:pPr>
              <w:spacing w:line="240" w:lineRule="auto"/>
              <w:rPr>
                <w:rFonts w:eastAsiaTheme="minorHAnsi" w:cs="Arial"/>
                <w:b/>
                <w:bCs/>
                <w:lang w:eastAsia="en-US"/>
              </w:rPr>
            </w:pPr>
            <w:r w:rsidRPr="005B4868">
              <w:rPr>
                <w:rFonts w:cs="Arial"/>
                <w:b/>
                <w:bCs/>
              </w:rPr>
              <w:t>Document</w:t>
            </w:r>
          </w:p>
        </w:tc>
      </w:tr>
      <w:tr w:rsidR="00E85D77" w:rsidRPr="005B4868" w:rsidTr="003C40B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1</w:t>
            </w:r>
          </w:p>
        </w:tc>
        <w:tc>
          <w:tcPr>
            <w:tcW w:w="2410" w:type="dxa"/>
            <w:tcBorders>
              <w:top w:val="nil"/>
              <w:left w:val="single" w:sz="4" w:space="0" w:color="auto"/>
              <w:bottom w:val="single" w:sz="8" w:space="0" w:color="auto"/>
              <w:right w:val="single" w:sz="4" w:space="0" w:color="auto"/>
            </w:tcBorders>
          </w:tcPr>
          <w:p w:rsidR="00E85D77" w:rsidRPr="005B4868" w:rsidRDefault="00E85D77" w:rsidP="003A73CA">
            <w:pPr>
              <w:spacing w:line="240" w:lineRule="auto"/>
              <w:jc w:val="center"/>
              <w:rPr>
                <w:rFonts w:cs="Arial"/>
              </w:rPr>
            </w:pPr>
            <w:r>
              <w:rPr>
                <w:rFonts w:cs="Arial"/>
              </w:rPr>
              <w:t>Regulatory Authority</w:t>
            </w:r>
          </w:p>
        </w:tc>
        <w:tc>
          <w:tcPr>
            <w:tcW w:w="666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Assessment evidence summary</w:t>
            </w:r>
          </w:p>
        </w:tc>
      </w:tr>
      <w:tr w:rsidR="00E85D77" w:rsidRPr="005B4868" w:rsidTr="003C40B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2</w:t>
            </w:r>
          </w:p>
        </w:tc>
        <w:tc>
          <w:tcPr>
            <w:tcW w:w="2410" w:type="dxa"/>
            <w:tcBorders>
              <w:top w:val="nil"/>
              <w:left w:val="single" w:sz="4" w:space="0" w:color="auto"/>
              <w:bottom w:val="single" w:sz="8" w:space="0" w:color="auto"/>
              <w:right w:val="single" w:sz="4" w:space="0" w:color="auto"/>
            </w:tcBorders>
          </w:tcPr>
          <w:p w:rsidR="00E85D77" w:rsidRPr="005B4868" w:rsidRDefault="00E85D77" w:rsidP="003A73CA">
            <w:pPr>
              <w:spacing w:line="240" w:lineRule="auto"/>
              <w:jc w:val="center"/>
              <w:rPr>
                <w:rFonts w:cs="Arial"/>
              </w:rPr>
            </w:pPr>
            <w:r>
              <w:rPr>
                <w:rFonts w:cs="Arial"/>
              </w:rPr>
              <w:t>Regulatory Authority</w:t>
            </w:r>
          </w:p>
        </w:tc>
        <w:tc>
          <w:tcPr>
            <w:tcW w:w="666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Rating outcome summary – draft</w:t>
            </w:r>
          </w:p>
        </w:tc>
      </w:tr>
      <w:tr w:rsidR="00E85D77" w:rsidRPr="005B4868" w:rsidTr="003C40B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3</w:t>
            </w:r>
          </w:p>
        </w:tc>
        <w:tc>
          <w:tcPr>
            <w:tcW w:w="2410" w:type="dxa"/>
            <w:tcBorders>
              <w:top w:val="nil"/>
              <w:left w:val="single" w:sz="4" w:space="0" w:color="auto"/>
              <w:bottom w:val="single" w:sz="8" w:space="0" w:color="auto"/>
              <w:right w:val="single" w:sz="4" w:space="0" w:color="auto"/>
            </w:tcBorders>
          </w:tcPr>
          <w:p w:rsidR="00E85D77" w:rsidRPr="005B4868" w:rsidRDefault="00E85D77" w:rsidP="003A73CA">
            <w:pPr>
              <w:spacing w:line="240" w:lineRule="auto"/>
              <w:jc w:val="center"/>
              <w:rPr>
                <w:rFonts w:cs="Arial"/>
              </w:rPr>
            </w:pPr>
            <w:r>
              <w:rPr>
                <w:rFonts w:cs="Arial"/>
              </w:rPr>
              <w:t>Regulatory Authority</w:t>
            </w:r>
          </w:p>
        </w:tc>
        <w:tc>
          <w:tcPr>
            <w:tcW w:w="666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Rating outcome summary – final</w:t>
            </w:r>
          </w:p>
        </w:tc>
      </w:tr>
      <w:tr w:rsidR="00E85D77" w:rsidRPr="005B4868" w:rsidTr="003C40B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4</w:t>
            </w:r>
          </w:p>
        </w:tc>
        <w:tc>
          <w:tcPr>
            <w:tcW w:w="2410" w:type="dxa"/>
            <w:tcBorders>
              <w:top w:val="nil"/>
              <w:left w:val="single" w:sz="4" w:space="0" w:color="auto"/>
              <w:bottom w:val="single" w:sz="8" w:space="0" w:color="auto"/>
              <w:right w:val="single" w:sz="4" w:space="0" w:color="auto"/>
            </w:tcBorders>
          </w:tcPr>
          <w:p w:rsidR="00E85D77" w:rsidRPr="005B4868" w:rsidRDefault="00E85D77" w:rsidP="003A73CA">
            <w:pPr>
              <w:spacing w:line="240" w:lineRule="auto"/>
              <w:jc w:val="center"/>
              <w:rPr>
                <w:rFonts w:cs="Arial"/>
              </w:rPr>
            </w:pPr>
            <w:r>
              <w:rPr>
                <w:rFonts w:cs="Arial"/>
              </w:rPr>
              <w:t>Regulatory Authority</w:t>
            </w:r>
          </w:p>
        </w:tc>
        <w:tc>
          <w:tcPr>
            <w:tcW w:w="666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Rating certificate</w:t>
            </w:r>
          </w:p>
        </w:tc>
      </w:tr>
      <w:tr w:rsidR="00E85D77" w:rsidRPr="005B4868" w:rsidTr="003C40B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5</w:t>
            </w:r>
          </w:p>
        </w:tc>
        <w:tc>
          <w:tcPr>
            <w:tcW w:w="2410" w:type="dxa"/>
            <w:tcBorders>
              <w:top w:val="nil"/>
              <w:left w:val="single" w:sz="4" w:space="0" w:color="auto"/>
              <w:bottom w:val="single" w:sz="8" w:space="0" w:color="auto"/>
              <w:right w:val="single" w:sz="4" w:space="0" w:color="auto"/>
            </w:tcBorders>
          </w:tcPr>
          <w:p w:rsidR="00E85D77" w:rsidRPr="005B4868" w:rsidRDefault="00E85D77" w:rsidP="003A73CA">
            <w:pPr>
              <w:spacing w:line="240" w:lineRule="auto"/>
              <w:jc w:val="center"/>
              <w:rPr>
                <w:rFonts w:cs="Arial"/>
              </w:rPr>
            </w:pPr>
            <w:r>
              <w:rPr>
                <w:rFonts w:cs="Arial"/>
              </w:rPr>
              <w:t>Regulatory Authority</w:t>
            </w:r>
          </w:p>
        </w:tc>
        <w:tc>
          <w:tcPr>
            <w:tcW w:w="666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Response to approved provider feedback on assessment and rating report</w:t>
            </w:r>
          </w:p>
        </w:tc>
      </w:tr>
      <w:tr w:rsidR="00E85D77" w:rsidRPr="005B4868" w:rsidTr="003C40B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6</w:t>
            </w:r>
          </w:p>
        </w:tc>
        <w:tc>
          <w:tcPr>
            <w:tcW w:w="2410" w:type="dxa"/>
            <w:tcBorders>
              <w:top w:val="nil"/>
              <w:left w:val="single" w:sz="4" w:space="0" w:color="auto"/>
              <w:bottom w:val="single" w:sz="8" w:space="0" w:color="auto"/>
              <w:right w:val="single" w:sz="4" w:space="0" w:color="auto"/>
            </w:tcBorders>
          </w:tcPr>
          <w:p w:rsidR="00E85D77" w:rsidRPr="005B4868" w:rsidRDefault="00795CC3" w:rsidP="003A73CA">
            <w:pPr>
              <w:spacing w:line="240" w:lineRule="auto"/>
              <w:jc w:val="center"/>
              <w:rPr>
                <w:rFonts w:cs="Arial"/>
              </w:rPr>
            </w:pPr>
            <w:r>
              <w:rPr>
                <w:rFonts w:cs="Arial"/>
              </w:rPr>
              <w:t>Approved p</w:t>
            </w:r>
            <w:r w:rsidR="00834EDE">
              <w:rPr>
                <w:rFonts w:cs="Arial"/>
              </w:rPr>
              <w:t>rovider</w:t>
            </w:r>
          </w:p>
        </w:tc>
        <w:tc>
          <w:tcPr>
            <w:tcW w:w="666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Application for first tier review</w:t>
            </w:r>
          </w:p>
        </w:tc>
      </w:tr>
      <w:tr w:rsidR="00E85D77" w:rsidRPr="005B4868" w:rsidTr="003C40B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7</w:t>
            </w:r>
          </w:p>
        </w:tc>
        <w:tc>
          <w:tcPr>
            <w:tcW w:w="2410" w:type="dxa"/>
            <w:tcBorders>
              <w:top w:val="nil"/>
              <w:left w:val="single" w:sz="4" w:space="0" w:color="auto"/>
              <w:bottom w:val="single" w:sz="8" w:space="0" w:color="auto"/>
              <w:right w:val="single" w:sz="4" w:space="0" w:color="auto"/>
            </w:tcBorders>
          </w:tcPr>
          <w:p w:rsidR="00E85D77" w:rsidRPr="005B4868" w:rsidRDefault="00E85D77" w:rsidP="003A73CA">
            <w:pPr>
              <w:spacing w:line="240" w:lineRule="auto"/>
              <w:jc w:val="center"/>
              <w:rPr>
                <w:rFonts w:cs="Arial"/>
              </w:rPr>
            </w:pPr>
            <w:r>
              <w:rPr>
                <w:rFonts w:cs="Arial"/>
              </w:rPr>
              <w:t>Regulatory Authority</w:t>
            </w:r>
          </w:p>
        </w:tc>
        <w:tc>
          <w:tcPr>
            <w:tcW w:w="666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First tier review panel recommendation and decision notice – draft</w:t>
            </w:r>
          </w:p>
        </w:tc>
      </w:tr>
      <w:tr w:rsidR="00E85D77" w:rsidRPr="005B4868" w:rsidTr="003C40B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8</w:t>
            </w:r>
          </w:p>
        </w:tc>
        <w:tc>
          <w:tcPr>
            <w:tcW w:w="2410" w:type="dxa"/>
            <w:tcBorders>
              <w:top w:val="nil"/>
              <w:left w:val="single" w:sz="4" w:space="0" w:color="auto"/>
              <w:bottom w:val="single" w:sz="8" w:space="0" w:color="auto"/>
              <w:right w:val="single" w:sz="4" w:space="0" w:color="auto"/>
            </w:tcBorders>
          </w:tcPr>
          <w:p w:rsidR="00E85D77" w:rsidRPr="005B4868" w:rsidRDefault="00E85D77" w:rsidP="003A73CA">
            <w:pPr>
              <w:spacing w:line="240" w:lineRule="auto"/>
              <w:jc w:val="center"/>
              <w:rPr>
                <w:rFonts w:cs="Arial"/>
              </w:rPr>
            </w:pPr>
            <w:r>
              <w:rPr>
                <w:rFonts w:cs="Arial"/>
              </w:rPr>
              <w:t>Regulatory Authority</w:t>
            </w:r>
          </w:p>
        </w:tc>
        <w:tc>
          <w:tcPr>
            <w:tcW w:w="666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First tier review panel decision notice - final</w:t>
            </w:r>
          </w:p>
        </w:tc>
      </w:tr>
      <w:tr w:rsidR="00E85D77" w:rsidRPr="005B4868" w:rsidTr="003C40B7">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9</w:t>
            </w:r>
          </w:p>
        </w:tc>
        <w:tc>
          <w:tcPr>
            <w:tcW w:w="2410" w:type="dxa"/>
            <w:tcBorders>
              <w:top w:val="nil"/>
              <w:left w:val="single" w:sz="4" w:space="0" w:color="auto"/>
              <w:bottom w:val="single" w:sz="8" w:space="0" w:color="auto"/>
              <w:right w:val="single" w:sz="4" w:space="0" w:color="auto"/>
            </w:tcBorders>
          </w:tcPr>
          <w:p w:rsidR="00E85D77" w:rsidRPr="005B4868" w:rsidRDefault="00E85D77" w:rsidP="003A73CA">
            <w:pPr>
              <w:spacing w:line="240" w:lineRule="auto"/>
              <w:jc w:val="center"/>
              <w:rPr>
                <w:rFonts w:cs="Arial"/>
              </w:rPr>
            </w:pPr>
            <w:r>
              <w:rPr>
                <w:rFonts w:cs="Arial"/>
              </w:rPr>
              <w:t>Regulatory Authority</w:t>
            </w:r>
          </w:p>
        </w:tc>
        <w:tc>
          <w:tcPr>
            <w:tcW w:w="666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Notice of first tier review outcome to approved provider</w:t>
            </w:r>
          </w:p>
        </w:tc>
      </w:tr>
      <w:tr w:rsidR="00E85D77" w:rsidRPr="005B4868" w:rsidTr="003C40B7">
        <w:tc>
          <w:tcPr>
            <w:tcW w:w="709"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E85D77" w:rsidRPr="005B4868" w:rsidRDefault="00E85D77" w:rsidP="003A73CA">
            <w:pPr>
              <w:spacing w:line="240" w:lineRule="auto"/>
              <w:jc w:val="center"/>
              <w:rPr>
                <w:rFonts w:eastAsiaTheme="minorHAnsi" w:cs="Arial"/>
                <w:lang w:eastAsia="en-US"/>
              </w:rPr>
            </w:pPr>
            <w:r w:rsidRPr="005B4868">
              <w:rPr>
                <w:rFonts w:cs="Arial"/>
              </w:rPr>
              <w:t>10</w:t>
            </w:r>
          </w:p>
        </w:tc>
        <w:tc>
          <w:tcPr>
            <w:tcW w:w="2410" w:type="dxa"/>
            <w:tcBorders>
              <w:top w:val="nil"/>
              <w:left w:val="single" w:sz="4" w:space="0" w:color="auto"/>
              <w:bottom w:val="single" w:sz="4" w:space="0" w:color="auto"/>
              <w:right w:val="single" w:sz="4" w:space="0" w:color="auto"/>
            </w:tcBorders>
          </w:tcPr>
          <w:p w:rsidR="00E85D77" w:rsidRPr="005B4868" w:rsidRDefault="00E85D77" w:rsidP="003A73CA">
            <w:pPr>
              <w:spacing w:line="240" w:lineRule="auto"/>
              <w:jc w:val="center"/>
              <w:rPr>
                <w:rFonts w:cs="Arial"/>
              </w:rPr>
            </w:pPr>
            <w:r>
              <w:rPr>
                <w:rFonts w:cs="Arial"/>
              </w:rPr>
              <w:t>Regulatory Authority</w:t>
            </w:r>
          </w:p>
        </w:tc>
        <w:tc>
          <w:tcPr>
            <w:tcW w:w="6662"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E85D77" w:rsidRPr="005B4868" w:rsidRDefault="00E85D77" w:rsidP="003A73CA">
            <w:pPr>
              <w:spacing w:line="240" w:lineRule="auto"/>
              <w:rPr>
                <w:rFonts w:eastAsiaTheme="minorHAnsi" w:cs="Arial"/>
                <w:lang w:eastAsia="en-US"/>
              </w:rPr>
            </w:pPr>
            <w:r w:rsidRPr="005B4868">
              <w:rPr>
                <w:rFonts w:cs="Arial"/>
              </w:rPr>
              <w:t>Feedback for region following first tier review</w:t>
            </w:r>
          </w:p>
        </w:tc>
      </w:tr>
      <w:tr w:rsidR="00E85D77" w:rsidRPr="005B4868" w:rsidTr="003C40B7">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5D77" w:rsidRPr="005B4868" w:rsidRDefault="00E85D77" w:rsidP="003A73CA">
            <w:pPr>
              <w:spacing w:line="240" w:lineRule="auto"/>
              <w:jc w:val="center"/>
              <w:rPr>
                <w:rFonts w:cs="Arial"/>
              </w:rPr>
            </w:pPr>
            <w:r w:rsidRPr="005B4868">
              <w:rPr>
                <w:rFonts w:cs="Arial"/>
              </w:rPr>
              <w:t>11</w:t>
            </w:r>
          </w:p>
        </w:tc>
        <w:tc>
          <w:tcPr>
            <w:tcW w:w="2410" w:type="dxa"/>
            <w:tcBorders>
              <w:top w:val="single" w:sz="4" w:space="0" w:color="auto"/>
              <w:left w:val="single" w:sz="4" w:space="0" w:color="auto"/>
              <w:bottom w:val="single" w:sz="4" w:space="0" w:color="auto"/>
              <w:right w:val="single" w:sz="4" w:space="0" w:color="auto"/>
            </w:tcBorders>
          </w:tcPr>
          <w:p w:rsidR="00E85D77" w:rsidRPr="005B4868" w:rsidRDefault="00795CC3" w:rsidP="003A73CA">
            <w:pPr>
              <w:spacing w:line="240" w:lineRule="auto"/>
              <w:jc w:val="center"/>
              <w:rPr>
                <w:rFonts w:cs="Arial"/>
              </w:rPr>
            </w:pPr>
            <w:r>
              <w:rPr>
                <w:rFonts w:cs="Arial"/>
              </w:rPr>
              <w:t>Approved p</w:t>
            </w:r>
            <w:r w:rsidR="00834EDE">
              <w:rPr>
                <w:rFonts w:cs="Arial"/>
              </w:rPr>
              <w:t>rovider</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5D77" w:rsidRPr="005B4868" w:rsidRDefault="00E85D77" w:rsidP="00D259B7">
            <w:pPr>
              <w:spacing w:line="240" w:lineRule="auto"/>
              <w:rPr>
                <w:rFonts w:cs="Arial"/>
              </w:rPr>
            </w:pPr>
            <w:r w:rsidRPr="005B4868">
              <w:rPr>
                <w:rFonts w:cs="Arial"/>
              </w:rPr>
              <w:t>Application for second ti</w:t>
            </w:r>
            <w:r w:rsidR="00D259B7">
              <w:rPr>
                <w:rFonts w:cs="Arial"/>
              </w:rPr>
              <w:t>er review</w:t>
            </w:r>
          </w:p>
        </w:tc>
      </w:tr>
      <w:tr w:rsidR="00D259B7" w:rsidRPr="005B4868" w:rsidTr="003C40B7">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9B7" w:rsidRPr="005B4868" w:rsidRDefault="00D259B7" w:rsidP="003A73CA">
            <w:pPr>
              <w:spacing w:line="240" w:lineRule="auto"/>
              <w:jc w:val="center"/>
              <w:rPr>
                <w:rFonts w:cs="Arial"/>
              </w:rPr>
            </w:pPr>
            <w:r>
              <w:rPr>
                <w:rFonts w:cs="Arial"/>
              </w:rPr>
              <w:t>12</w:t>
            </w:r>
          </w:p>
        </w:tc>
        <w:tc>
          <w:tcPr>
            <w:tcW w:w="2410" w:type="dxa"/>
            <w:tcBorders>
              <w:top w:val="single" w:sz="4" w:space="0" w:color="auto"/>
              <w:left w:val="single" w:sz="4" w:space="0" w:color="auto"/>
              <w:bottom w:val="single" w:sz="4" w:space="0" w:color="auto"/>
              <w:right w:val="single" w:sz="4" w:space="0" w:color="auto"/>
            </w:tcBorders>
          </w:tcPr>
          <w:p w:rsidR="00D259B7" w:rsidRDefault="00D259B7" w:rsidP="003A73CA">
            <w:pPr>
              <w:spacing w:line="240" w:lineRule="auto"/>
              <w:jc w:val="center"/>
              <w:rPr>
                <w:rFonts w:cs="Arial"/>
              </w:rPr>
            </w:pPr>
            <w:r>
              <w:rPr>
                <w:rFonts w:cs="Arial"/>
              </w:rPr>
              <w:t>Contractor</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59B7" w:rsidRPr="005B4868" w:rsidRDefault="00D259B7" w:rsidP="003A73CA">
            <w:pPr>
              <w:spacing w:line="240" w:lineRule="auto"/>
              <w:rPr>
                <w:rFonts w:cs="Arial"/>
              </w:rPr>
            </w:pPr>
            <w:r>
              <w:rPr>
                <w:rFonts w:cs="Arial"/>
              </w:rPr>
              <w:t>Letter from landscaping and fencing contractor</w:t>
            </w:r>
          </w:p>
        </w:tc>
      </w:tr>
    </w:tbl>
    <w:p w:rsidR="00F05CA4" w:rsidRPr="00E85D77" w:rsidRDefault="00F05CA4" w:rsidP="003A73CA">
      <w:pPr>
        <w:pStyle w:val="ListParagraph"/>
        <w:spacing w:before="0" w:line="240" w:lineRule="auto"/>
        <w:ind w:left="1440"/>
        <w:rPr>
          <w:rFonts w:cs="Arial"/>
          <w:sz w:val="24"/>
          <w:szCs w:val="24"/>
          <w14:cntxtAlts/>
        </w:rPr>
      </w:pPr>
    </w:p>
    <w:p w:rsidR="00B057CB" w:rsidRPr="00E85D77" w:rsidRDefault="00B057CB" w:rsidP="009A617C">
      <w:pPr>
        <w:pStyle w:val="ListParagraph"/>
        <w:numPr>
          <w:ilvl w:val="0"/>
          <w:numId w:val="2"/>
        </w:numPr>
        <w:spacing w:after="360" w:line="240" w:lineRule="auto"/>
        <w:rPr>
          <w:sz w:val="24"/>
          <w:szCs w:val="24"/>
        </w:rPr>
      </w:pPr>
      <w:r w:rsidRPr="00E85D77">
        <w:rPr>
          <w:sz w:val="24"/>
          <w:szCs w:val="24"/>
        </w:rPr>
        <w:t>The</w:t>
      </w:r>
      <w:r w:rsidR="00490470" w:rsidRPr="00E85D77">
        <w:rPr>
          <w:sz w:val="24"/>
          <w:szCs w:val="24"/>
        </w:rPr>
        <w:t xml:space="preserve"> P</w:t>
      </w:r>
      <w:r w:rsidRPr="00E85D77">
        <w:rPr>
          <w:sz w:val="24"/>
          <w:szCs w:val="24"/>
        </w:rPr>
        <w:t>anel was also provided wit</w:t>
      </w:r>
      <w:r w:rsidR="008369B7" w:rsidRPr="00E85D77">
        <w:rPr>
          <w:sz w:val="24"/>
          <w:szCs w:val="24"/>
        </w:rPr>
        <w:t xml:space="preserve">h advice from ACECQA on </w:t>
      </w:r>
      <w:r w:rsidR="00606B8E" w:rsidRPr="00E85D77">
        <w:rPr>
          <w:sz w:val="24"/>
          <w:szCs w:val="24"/>
        </w:rPr>
        <w:t xml:space="preserve">the </w:t>
      </w:r>
      <w:r w:rsidR="00327C78" w:rsidRPr="00E85D77">
        <w:rPr>
          <w:sz w:val="24"/>
          <w:szCs w:val="24"/>
        </w:rPr>
        <w:t xml:space="preserve">element </w:t>
      </w:r>
      <w:r w:rsidR="002615DC" w:rsidRPr="00E85D77">
        <w:rPr>
          <w:sz w:val="24"/>
          <w:szCs w:val="24"/>
        </w:rPr>
        <w:t>under review</w:t>
      </w:r>
      <w:r w:rsidR="00793E34" w:rsidRPr="00E85D77">
        <w:rPr>
          <w:sz w:val="24"/>
          <w:szCs w:val="24"/>
        </w:rPr>
        <w:t>.</w:t>
      </w:r>
    </w:p>
    <w:p w:rsidR="00B057CB" w:rsidRPr="00E85D77" w:rsidRDefault="00B057CB" w:rsidP="003A73CA">
      <w:pPr>
        <w:spacing w:before="0" w:line="240" w:lineRule="auto"/>
        <w:rPr>
          <w:rFonts w:cs="Arial"/>
          <w:b/>
          <w:sz w:val="24"/>
          <w:szCs w:val="24"/>
          <w14:cntxtAlts/>
        </w:rPr>
      </w:pPr>
      <w:r w:rsidRPr="00E85D77">
        <w:rPr>
          <w:rFonts w:cs="Arial"/>
          <w:b/>
          <w:sz w:val="24"/>
          <w:szCs w:val="24"/>
          <w14:cntxtAlts/>
        </w:rPr>
        <w:t xml:space="preserve">The </w:t>
      </w:r>
      <w:r w:rsidR="00027A91" w:rsidRPr="00E85D77">
        <w:rPr>
          <w:rFonts w:cs="Arial"/>
          <w:b/>
          <w:sz w:val="24"/>
          <w:szCs w:val="24"/>
          <w14:cntxtAlts/>
        </w:rPr>
        <w:t>l</w:t>
      </w:r>
      <w:r w:rsidRPr="00E85D77">
        <w:rPr>
          <w:rFonts w:cs="Arial"/>
          <w:b/>
          <w:sz w:val="24"/>
          <w:szCs w:val="24"/>
          <w14:cntxtAlts/>
        </w:rPr>
        <w:t>aw</w:t>
      </w:r>
    </w:p>
    <w:p w:rsidR="00793E34" w:rsidRPr="00E85D77" w:rsidRDefault="00793E34" w:rsidP="003A73CA">
      <w:pPr>
        <w:pStyle w:val="ListParagraph"/>
        <w:numPr>
          <w:ilvl w:val="0"/>
          <w:numId w:val="2"/>
        </w:numPr>
        <w:spacing w:line="240" w:lineRule="auto"/>
        <w:rPr>
          <w:sz w:val="24"/>
          <w:szCs w:val="24"/>
        </w:rPr>
      </w:pPr>
      <w:r w:rsidRPr="00E85D77">
        <w:rPr>
          <w:sz w:val="24"/>
          <w:szCs w:val="24"/>
        </w:rPr>
        <w:t xml:space="preserve">Section 151 </w:t>
      </w:r>
      <w:r w:rsidR="00627933" w:rsidRPr="00E85D77">
        <w:rPr>
          <w:sz w:val="24"/>
          <w:szCs w:val="24"/>
        </w:rPr>
        <w:t xml:space="preserve">of the National Law </w:t>
      </w:r>
      <w:r w:rsidR="00DC7E0A" w:rsidRPr="00E85D77">
        <w:rPr>
          <w:sz w:val="24"/>
          <w:szCs w:val="24"/>
        </w:rPr>
        <w:t>states that f</w:t>
      </w:r>
      <w:r w:rsidR="001D1971" w:rsidRPr="00E85D77">
        <w:rPr>
          <w:sz w:val="24"/>
          <w:szCs w:val="24"/>
        </w:rPr>
        <w:t>ollowing a review, the Ratings </w:t>
      </w:r>
      <w:r w:rsidRPr="00E85D77">
        <w:rPr>
          <w:sz w:val="24"/>
          <w:szCs w:val="24"/>
        </w:rPr>
        <w:t>Review Panel may:</w:t>
      </w:r>
    </w:p>
    <w:p w:rsidR="00793E34" w:rsidRPr="003411DD" w:rsidRDefault="00793E34" w:rsidP="003A73CA">
      <w:pPr>
        <w:pStyle w:val="ListParagraph"/>
        <w:spacing w:before="41" w:after="0" w:line="240" w:lineRule="auto"/>
        <w:ind w:right="-20" w:firstLine="720"/>
        <w:contextualSpacing w:val="0"/>
        <w:rPr>
          <w:rFonts w:eastAsia="Arial" w:cs="Arial"/>
          <w:sz w:val="24"/>
          <w:szCs w:val="24"/>
          <w14:cntxtAlts/>
        </w:rPr>
      </w:pPr>
      <w:r w:rsidRPr="00E85D77">
        <w:rPr>
          <w:rFonts w:eastAsia="Arial" w:cs="Arial"/>
          <w:sz w:val="24"/>
          <w:szCs w:val="24"/>
          <w14:cntxtAlts/>
        </w:rPr>
        <w:t xml:space="preserve">(a) </w:t>
      </w:r>
      <w:proofErr w:type="gramStart"/>
      <w:r w:rsidRPr="00E85D77">
        <w:rPr>
          <w:rFonts w:eastAsia="Arial" w:cs="Arial"/>
          <w:sz w:val="24"/>
          <w:szCs w:val="24"/>
          <w14:cntxtAlts/>
        </w:rPr>
        <w:t>confirm</w:t>
      </w:r>
      <w:proofErr w:type="gramEnd"/>
      <w:r w:rsidRPr="00E85D77">
        <w:rPr>
          <w:rFonts w:eastAsia="Arial" w:cs="Arial"/>
          <w:sz w:val="24"/>
          <w:szCs w:val="24"/>
          <w14:cntxtAlts/>
        </w:rPr>
        <w:t xml:space="preserve"> the rating levels</w:t>
      </w:r>
      <w:r w:rsidRPr="003411DD">
        <w:rPr>
          <w:rFonts w:eastAsia="Arial" w:cs="Arial"/>
          <w:sz w:val="24"/>
          <w:szCs w:val="24"/>
          <w14:cntxtAlts/>
        </w:rPr>
        <w:t xml:space="preserve"> determined by the Regulatory Authority; or</w:t>
      </w:r>
    </w:p>
    <w:p w:rsidR="00622E2C" w:rsidRPr="003A52DA" w:rsidRDefault="00627933" w:rsidP="003A73CA">
      <w:pPr>
        <w:pStyle w:val="ListParagraph"/>
        <w:spacing w:before="41" w:after="0" w:line="240" w:lineRule="auto"/>
        <w:ind w:right="-20" w:firstLine="720"/>
        <w:contextualSpacing w:val="0"/>
        <w:rPr>
          <w:rFonts w:eastAsia="Arial"/>
        </w:rPr>
      </w:pPr>
      <w:r>
        <w:rPr>
          <w:rFonts w:eastAsia="Arial" w:cs="Arial"/>
          <w:sz w:val="24"/>
          <w:szCs w:val="24"/>
          <w14:cntxtAlts/>
        </w:rPr>
        <w:t xml:space="preserve">(b) </w:t>
      </w:r>
      <w:proofErr w:type="gramStart"/>
      <w:r>
        <w:rPr>
          <w:rFonts w:eastAsia="Arial" w:cs="Arial"/>
          <w:sz w:val="24"/>
          <w:szCs w:val="24"/>
          <w14:cntxtAlts/>
        </w:rPr>
        <w:t>amend</w:t>
      </w:r>
      <w:proofErr w:type="gramEnd"/>
      <w:r>
        <w:rPr>
          <w:rFonts w:eastAsia="Arial" w:cs="Arial"/>
          <w:sz w:val="24"/>
          <w:szCs w:val="24"/>
          <w14:cntxtAlts/>
        </w:rPr>
        <w:t xml:space="preserve"> the rating levels</w:t>
      </w:r>
      <w:r w:rsidR="00793E34" w:rsidRPr="003411DD">
        <w:rPr>
          <w:rFonts w:eastAsia="Arial" w:cs="Arial"/>
          <w:sz w:val="24"/>
          <w:szCs w:val="24"/>
          <w14:cntxtAlts/>
        </w:rPr>
        <w:t>.</w:t>
      </w:r>
    </w:p>
    <w:p w:rsidR="00B057CB" w:rsidRPr="009D743A" w:rsidRDefault="00834EDE" w:rsidP="003A73CA">
      <w:pPr>
        <w:spacing w:before="360" w:line="240" w:lineRule="auto"/>
        <w:rPr>
          <w:rFonts w:cs="Arial"/>
          <w:b/>
          <w:sz w:val="24"/>
          <w:szCs w:val="24"/>
          <w14:cntxtAlts/>
        </w:rPr>
      </w:pPr>
      <w:r w:rsidRPr="009D743A">
        <w:rPr>
          <w:rFonts w:cs="Arial"/>
          <w:b/>
          <w:sz w:val="24"/>
          <w:szCs w:val="24"/>
          <w14:cntxtAlts/>
        </w:rPr>
        <w:t>Background</w:t>
      </w:r>
    </w:p>
    <w:p w:rsidR="00834EDE" w:rsidRPr="009D743A" w:rsidRDefault="00CD4074" w:rsidP="003A73CA">
      <w:pPr>
        <w:pStyle w:val="ListParagraph"/>
        <w:numPr>
          <w:ilvl w:val="0"/>
          <w:numId w:val="2"/>
        </w:numPr>
        <w:spacing w:before="0" w:line="240" w:lineRule="auto"/>
        <w:contextualSpacing w:val="0"/>
        <w:rPr>
          <w:sz w:val="24"/>
          <w:szCs w:val="24"/>
        </w:rPr>
      </w:pPr>
      <w:r>
        <w:rPr>
          <w:sz w:val="24"/>
          <w:szCs w:val="24"/>
        </w:rPr>
        <w:t>The service</w:t>
      </w:r>
      <w:r w:rsidR="00834EDE" w:rsidRPr="009D743A">
        <w:rPr>
          <w:sz w:val="24"/>
          <w:szCs w:val="24"/>
        </w:rPr>
        <w:t xml:space="preserve"> is a long day care service with 59 approved places</w:t>
      </w:r>
      <w:r>
        <w:rPr>
          <w:sz w:val="24"/>
          <w:szCs w:val="24"/>
        </w:rPr>
        <w:t xml:space="preserve"> and </w:t>
      </w:r>
      <w:r w:rsidR="00834EDE" w:rsidRPr="009D743A">
        <w:rPr>
          <w:sz w:val="24"/>
          <w:szCs w:val="24"/>
        </w:rPr>
        <w:t xml:space="preserve">is based </w:t>
      </w:r>
      <w:r>
        <w:rPr>
          <w:sz w:val="24"/>
          <w:szCs w:val="24"/>
        </w:rPr>
        <w:t xml:space="preserve">in </w:t>
      </w:r>
      <w:r w:rsidR="00834EDE" w:rsidRPr="009D743A">
        <w:rPr>
          <w:sz w:val="24"/>
          <w:szCs w:val="24"/>
        </w:rPr>
        <w:t>NSW.</w:t>
      </w:r>
    </w:p>
    <w:p w:rsidR="00834EDE" w:rsidRPr="009D743A" w:rsidRDefault="00834EDE" w:rsidP="003A73CA">
      <w:pPr>
        <w:pStyle w:val="ListParagraph"/>
        <w:numPr>
          <w:ilvl w:val="0"/>
          <w:numId w:val="2"/>
        </w:numPr>
        <w:spacing w:before="0" w:line="240" w:lineRule="auto"/>
        <w:contextualSpacing w:val="0"/>
        <w:rPr>
          <w:sz w:val="24"/>
          <w:szCs w:val="24"/>
        </w:rPr>
      </w:pPr>
      <w:r w:rsidRPr="009D743A">
        <w:rPr>
          <w:sz w:val="24"/>
          <w:szCs w:val="24"/>
        </w:rPr>
        <w:t>The assessment and rating visit took place on 17 and 18 August 2017.</w:t>
      </w:r>
    </w:p>
    <w:p w:rsidR="002609A2" w:rsidRPr="009D743A" w:rsidRDefault="00834EDE" w:rsidP="003A73CA">
      <w:pPr>
        <w:pStyle w:val="ListParagraph"/>
        <w:numPr>
          <w:ilvl w:val="0"/>
          <w:numId w:val="2"/>
        </w:numPr>
        <w:spacing w:before="0" w:line="240" w:lineRule="auto"/>
        <w:contextualSpacing w:val="0"/>
        <w:rPr>
          <w:sz w:val="24"/>
          <w:szCs w:val="24"/>
        </w:rPr>
      </w:pPr>
      <w:r w:rsidRPr="009D743A">
        <w:rPr>
          <w:sz w:val="24"/>
          <w:szCs w:val="24"/>
        </w:rPr>
        <w:lastRenderedPageBreak/>
        <w:t xml:space="preserve">The regulatory authority sent the </w:t>
      </w:r>
      <w:r w:rsidR="00795CC3">
        <w:rPr>
          <w:sz w:val="24"/>
          <w:szCs w:val="24"/>
        </w:rPr>
        <w:t xml:space="preserve">approved </w:t>
      </w:r>
      <w:r w:rsidRPr="009D743A">
        <w:rPr>
          <w:sz w:val="24"/>
          <w:szCs w:val="24"/>
        </w:rPr>
        <w:t xml:space="preserve">provider the draft report on 27 August 2017 and the regulatory authority received feedback to the draft report on 6 September 2017. The final report was sent to the </w:t>
      </w:r>
      <w:r w:rsidR="00795CC3">
        <w:rPr>
          <w:sz w:val="24"/>
          <w:szCs w:val="24"/>
        </w:rPr>
        <w:t xml:space="preserve">approved </w:t>
      </w:r>
      <w:r w:rsidRPr="009D743A">
        <w:rPr>
          <w:sz w:val="24"/>
          <w:szCs w:val="24"/>
        </w:rPr>
        <w:t>provider on 12 September 2017.</w:t>
      </w:r>
    </w:p>
    <w:p w:rsidR="009D743A" w:rsidRPr="009D743A" w:rsidRDefault="009D743A" w:rsidP="003A73CA">
      <w:pPr>
        <w:pStyle w:val="ListParagraph"/>
        <w:numPr>
          <w:ilvl w:val="0"/>
          <w:numId w:val="2"/>
        </w:numPr>
        <w:spacing w:line="240" w:lineRule="auto"/>
        <w:rPr>
          <w:sz w:val="24"/>
          <w:szCs w:val="24"/>
        </w:rPr>
      </w:pPr>
      <w:r w:rsidRPr="009D743A">
        <w:rPr>
          <w:sz w:val="24"/>
          <w:szCs w:val="24"/>
        </w:rPr>
        <w:t xml:space="preserve">The </w:t>
      </w:r>
      <w:r w:rsidR="00795CC3">
        <w:rPr>
          <w:sz w:val="24"/>
          <w:szCs w:val="24"/>
        </w:rPr>
        <w:t xml:space="preserve">approved </w:t>
      </w:r>
      <w:r w:rsidRPr="009D743A">
        <w:rPr>
          <w:sz w:val="24"/>
          <w:szCs w:val="24"/>
        </w:rPr>
        <w:t xml:space="preserve">provider applied for first tier review on 19 September 2017. The regulatory authority made a decision on the review on 25 October 2017. The decision was sent to the provider on 20 November 2017. The </w:t>
      </w:r>
      <w:r w:rsidR="00795CC3">
        <w:rPr>
          <w:sz w:val="24"/>
          <w:szCs w:val="24"/>
        </w:rPr>
        <w:t xml:space="preserve">approved </w:t>
      </w:r>
      <w:r w:rsidRPr="009D743A">
        <w:rPr>
          <w:sz w:val="24"/>
          <w:szCs w:val="24"/>
        </w:rPr>
        <w:t xml:space="preserve">provider applied for second tier review on 1 December 2017. </w:t>
      </w:r>
    </w:p>
    <w:p w:rsidR="00027A91" w:rsidRPr="009D743A" w:rsidRDefault="00027A91" w:rsidP="003A73CA">
      <w:pPr>
        <w:keepNext/>
        <w:autoSpaceDE w:val="0"/>
        <w:autoSpaceDN w:val="0"/>
        <w:adjustRightInd w:val="0"/>
        <w:spacing w:before="360" w:line="240" w:lineRule="auto"/>
        <w:rPr>
          <w:rFonts w:cs="Arial"/>
          <w:b/>
          <w:sz w:val="24"/>
          <w:szCs w:val="24"/>
          <w14:cntxtAlts/>
        </w:rPr>
      </w:pPr>
      <w:r w:rsidRPr="009D743A">
        <w:rPr>
          <w:rFonts w:cs="Arial"/>
          <w:b/>
          <w:sz w:val="24"/>
          <w:szCs w:val="24"/>
          <w14:cntxtAlts/>
        </w:rPr>
        <w:t>Review of rating levels</w:t>
      </w:r>
    </w:p>
    <w:p w:rsidR="00DB4DB7" w:rsidRPr="009D743A" w:rsidRDefault="009D743A" w:rsidP="003A73CA">
      <w:pPr>
        <w:spacing w:before="0" w:line="240" w:lineRule="auto"/>
        <w:rPr>
          <w:sz w:val="24"/>
          <w:szCs w:val="24"/>
        </w:rPr>
      </w:pPr>
      <w:r w:rsidRPr="009D743A">
        <w:rPr>
          <w:b/>
          <w:sz w:val="24"/>
          <w:szCs w:val="24"/>
        </w:rPr>
        <w:t>Element 7.3.3</w:t>
      </w:r>
    </w:p>
    <w:p w:rsidR="009D743A" w:rsidRPr="009D743A" w:rsidRDefault="009D743A" w:rsidP="009A617C">
      <w:pPr>
        <w:pStyle w:val="ListParagraph"/>
        <w:numPr>
          <w:ilvl w:val="0"/>
          <w:numId w:val="2"/>
        </w:numPr>
        <w:spacing w:line="240" w:lineRule="auto"/>
        <w:contextualSpacing w:val="0"/>
        <w:rPr>
          <w:sz w:val="24"/>
          <w:szCs w:val="24"/>
        </w:rPr>
      </w:pPr>
      <w:r w:rsidRPr="009D743A">
        <w:rPr>
          <w:sz w:val="24"/>
          <w:szCs w:val="24"/>
        </w:rPr>
        <w:t>Element 7.3.3 is that:</w:t>
      </w:r>
    </w:p>
    <w:p w:rsidR="009D743A" w:rsidRPr="009D743A" w:rsidRDefault="009D743A" w:rsidP="009A617C">
      <w:pPr>
        <w:pStyle w:val="ListParagraph"/>
        <w:spacing w:before="0" w:after="240" w:line="240" w:lineRule="auto"/>
        <w:ind w:left="1440"/>
        <w:contextualSpacing w:val="0"/>
        <w:rPr>
          <w:sz w:val="24"/>
          <w:szCs w:val="24"/>
        </w:rPr>
      </w:pPr>
      <w:r w:rsidRPr="009D743A">
        <w:rPr>
          <w:sz w:val="24"/>
          <w:szCs w:val="24"/>
        </w:rPr>
        <w:t>The Regulatory Authority is notified of any relevant changes to the operation of the service, of serious incidents and of any complaints which allege a breach of legislation.</w:t>
      </w:r>
    </w:p>
    <w:p w:rsidR="009D743A" w:rsidRPr="009D743A" w:rsidRDefault="009D743A" w:rsidP="003A73CA">
      <w:pPr>
        <w:spacing w:line="240" w:lineRule="auto"/>
        <w:rPr>
          <w:i/>
          <w:sz w:val="24"/>
          <w:szCs w:val="24"/>
        </w:rPr>
      </w:pPr>
      <w:r w:rsidRPr="009D743A">
        <w:rPr>
          <w:i/>
          <w:sz w:val="24"/>
          <w:szCs w:val="24"/>
        </w:rPr>
        <w:t xml:space="preserve">Relevant </w:t>
      </w:r>
      <w:r w:rsidRPr="006F7116">
        <w:rPr>
          <w:i/>
          <w:sz w:val="24"/>
          <w:szCs w:val="24"/>
        </w:rPr>
        <w:t>provisions</w:t>
      </w:r>
    </w:p>
    <w:p w:rsidR="009D743A" w:rsidRPr="009D743A" w:rsidRDefault="009D743A" w:rsidP="003A73CA">
      <w:pPr>
        <w:pStyle w:val="ListParagraph"/>
        <w:numPr>
          <w:ilvl w:val="0"/>
          <w:numId w:val="2"/>
        </w:numPr>
        <w:spacing w:before="0" w:line="240" w:lineRule="auto"/>
        <w:contextualSpacing w:val="0"/>
        <w:rPr>
          <w:sz w:val="24"/>
          <w:szCs w:val="24"/>
        </w:rPr>
      </w:pPr>
      <w:r w:rsidRPr="009D743A">
        <w:rPr>
          <w:sz w:val="24"/>
          <w:szCs w:val="24"/>
        </w:rPr>
        <w:t>Section 174(2</w:t>
      </w:r>
      <w:proofErr w:type="gramStart"/>
      <w:r w:rsidRPr="009D743A">
        <w:rPr>
          <w:sz w:val="24"/>
          <w:szCs w:val="24"/>
        </w:rPr>
        <w:t>)(</w:t>
      </w:r>
      <w:proofErr w:type="gramEnd"/>
      <w:r w:rsidRPr="009D743A">
        <w:rPr>
          <w:sz w:val="24"/>
          <w:szCs w:val="24"/>
        </w:rPr>
        <w:t>c) requires an approved provider to notify the regulatory authority of information in respect of any prescribed matters in regulation 175(2). Among these prescribed matters are ‘any circumstances arising at the service that poses a risk to the health, safety or wellbeing of a child or children attending the service’ (regulation 175(2</w:t>
      </w:r>
      <w:proofErr w:type="gramStart"/>
      <w:r w:rsidRPr="009D743A">
        <w:rPr>
          <w:sz w:val="24"/>
          <w:szCs w:val="24"/>
        </w:rPr>
        <w:t>)(</w:t>
      </w:r>
      <w:proofErr w:type="gramEnd"/>
      <w:r w:rsidRPr="009D743A">
        <w:rPr>
          <w:sz w:val="24"/>
          <w:szCs w:val="24"/>
        </w:rPr>
        <w:t xml:space="preserve">c)). </w:t>
      </w:r>
    </w:p>
    <w:p w:rsidR="009D743A" w:rsidRPr="009D743A" w:rsidRDefault="009D743A" w:rsidP="003A73CA">
      <w:pPr>
        <w:pStyle w:val="ListParagraph"/>
        <w:numPr>
          <w:ilvl w:val="0"/>
          <w:numId w:val="2"/>
        </w:numPr>
        <w:spacing w:line="240" w:lineRule="auto"/>
        <w:contextualSpacing w:val="0"/>
        <w:rPr>
          <w:sz w:val="24"/>
          <w:szCs w:val="24"/>
        </w:rPr>
      </w:pPr>
      <w:r w:rsidRPr="009D743A">
        <w:rPr>
          <w:sz w:val="24"/>
          <w:szCs w:val="24"/>
        </w:rPr>
        <w:t>An approved provider must notify the regulatory authority of this information within 7 days of the relevant event or 7 days of the approved provider becoming aware of the relevant information (regulation 176(2)(c)).</w:t>
      </w:r>
    </w:p>
    <w:p w:rsidR="009D743A" w:rsidRPr="009D743A" w:rsidRDefault="009D743A" w:rsidP="003A73CA">
      <w:pPr>
        <w:pStyle w:val="ListParagraph"/>
        <w:numPr>
          <w:ilvl w:val="0"/>
          <w:numId w:val="2"/>
        </w:numPr>
        <w:spacing w:line="240" w:lineRule="auto"/>
        <w:contextualSpacing w:val="0"/>
        <w:rPr>
          <w:sz w:val="24"/>
          <w:szCs w:val="24"/>
        </w:rPr>
      </w:pPr>
      <w:r w:rsidRPr="009D743A">
        <w:rPr>
          <w:sz w:val="24"/>
          <w:szCs w:val="24"/>
        </w:rPr>
        <w:t xml:space="preserve">Section 173(2)(c) requires an approved provider to notify the regulatory authority of ‘any proposed change to the education and care service premises of an approved education and care service (other than a family day care residence). </w:t>
      </w:r>
    </w:p>
    <w:p w:rsidR="009D743A" w:rsidRPr="009D743A" w:rsidRDefault="009D743A" w:rsidP="003A73CA">
      <w:pPr>
        <w:pStyle w:val="ListParagraph"/>
        <w:numPr>
          <w:ilvl w:val="0"/>
          <w:numId w:val="2"/>
        </w:numPr>
        <w:spacing w:after="240" w:line="240" w:lineRule="auto"/>
        <w:contextualSpacing w:val="0"/>
        <w:rPr>
          <w:sz w:val="24"/>
          <w:szCs w:val="24"/>
        </w:rPr>
      </w:pPr>
      <w:r w:rsidRPr="009D743A">
        <w:rPr>
          <w:sz w:val="24"/>
          <w:szCs w:val="24"/>
        </w:rPr>
        <w:t xml:space="preserve">Regulation 174(2)(b) requires the approved provider notifies the regulatory authority of the proposed change within 7 days of the relevant event or 7 days of the approved provider becoming aware of the relevant information. </w:t>
      </w:r>
    </w:p>
    <w:p w:rsidR="009D743A" w:rsidRPr="009D743A" w:rsidRDefault="009D743A" w:rsidP="003A73CA">
      <w:pPr>
        <w:spacing w:before="0" w:line="240" w:lineRule="auto"/>
        <w:rPr>
          <w:i/>
          <w:sz w:val="24"/>
          <w:szCs w:val="24"/>
        </w:rPr>
      </w:pPr>
      <w:r w:rsidRPr="009D743A">
        <w:rPr>
          <w:i/>
          <w:sz w:val="24"/>
          <w:szCs w:val="24"/>
        </w:rPr>
        <w:t>Outcome summary</w:t>
      </w:r>
    </w:p>
    <w:p w:rsidR="00B668D4" w:rsidRDefault="009D743A" w:rsidP="003A73CA">
      <w:pPr>
        <w:pStyle w:val="ListParagraph"/>
        <w:numPr>
          <w:ilvl w:val="0"/>
          <w:numId w:val="2"/>
        </w:numPr>
        <w:spacing w:line="240" w:lineRule="auto"/>
        <w:contextualSpacing w:val="0"/>
        <w:rPr>
          <w:sz w:val="24"/>
          <w:szCs w:val="24"/>
        </w:rPr>
      </w:pPr>
      <w:r w:rsidRPr="009D743A">
        <w:rPr>
          <w:sz w:val="24"/>
          <w:szCs w:val="24"/>
        </w:rPr>
        <w:t>In the Outcome Summary, the regulatory authority states:</w:t>
      </w:r>
    </w:p>
    <w:p w:rsidR="009D743A" w:rsidRPr="00B668D4" w:rsidRDefault="009D743A" w:rsidP="003A73CA">
      <w:pPr>
        <w:pStyle w:val="ListParagraph"/>
        <w:spacing w:after="240" w:line="240" w:lineRule="auto"/>
        <w:ind w:left="1440"/>
        <w:contextualSpacing w:val="0"/>
        <w:rPr>
          <w:sz w:val="24"/>
          <w:szCs w:val="24"/>
        </w:rPr>
      </w:pPr>
      <w:r w:rsidRPr="00B668D4">
        <w:rPr>
          <w:sz w:val="24"/>
          <w:szCs w:val="24"/>
        </w:rPr>
        <w:t>The service has processes in place to ensure the effective management of the service, however the service did not notify the Regulatory Authority about circumstances arising that may pose a risk to children's health, safety and wellbeing when they recently erected a fence in the children's playground during operating h</w:t>
      </w:r>
      <w:r w:rsidR="00B668D4">
        <w:rPr>
          <w:sz w:val="24"/>
          <w:szCs w:val="24"/>
        </w:rPr>
        <w:t>ours.</w:t>
      </w:r>
    </w:p>
    <w:p w:rsidR="0012507B" w:rsidRDefault="0012507B">
      <w:pPr>
        <w:spacing w:before="0" w:after="0" w:line="240" w:lineRule="auto"/>
        <w:rPr>
          <w:i/>
          <w:sz w:val="24"/>
          <w:szCs w:val="24"/>
        </w:rPr>
      </w:pPr>
      <w:r>
        <w:rPr>
          <w:i/>
          <w:sz w:val="24"/>
          <w:szCs w:val="24"/>
        </w:rPr>
        <w:br w:type="page"/>
      </w:r>
    </w:p>
    <w:p w:rsidR="009D743A" w:rsidRPr="0006488F" w:rsidRDefault="009D743A" w:rsidP="003A73CA">
      <w:pPr>
        <w:spacing w:line="240" w:lineRule="auto"/>
        <w:rPr>
          <w:i/>
          <w:sz w:val="24"/>
          <w:szCs w:val="24"/>
        </w:rPr>
      </w:pPr>
      <w:bookmarkStart w:id="0" w:name="_GoBack"/>
      <w:bookmarkEnd w:id="0"/>
      <w:r w:rsidRPr="0006488F">
        <w:rPr>
          <w:i/>
          <w:sz w:val="24"/>
          <w:szCs w:val="24"/>
        </w:rPr>
        <w:lastRenderedPageBreak/>
        <w:t>Evidence summary</w:t>
      </w:r>
    </w:p>
    <w:p w:rsidR="009D743A" w:rsidRPr="00B668D4" w:rsidRDefault="009D743A" w:rsidP="003A73CA">
      <w:pPr>
        <w:pStyle w:val="ListParagraph"/>
        <w:numPr>
          <w:ilvl w:val="0"/>
          <w:numId w:val="2"/>
        </w:numPr>
        <w:spacing w:line="240" w:lineRule="auto"/>
        <w:contextualSpacing w:val="0"/>
        <w:rPr>
          <w:sz w:val="24"/>
          <w:szCs w:val="24"/>
        </w:rPr>
      </w:pPr>
      <w:r w:rsidRPr="00B668D4">
        <w:rPr>
          <w:sz w:val="24"/>
          <w:szCs w:val="24"/>
        </w:rPr>
        <w:t>In the Evidence Summary, the regulatory authority found through discussion with the nominated supervisor that:</w:t>
      </w:r>
    </w:p>
    <w:p w:rsidR="009D743A" w:rsidRDefault="009D743A" w:rsidP="003A73CA">
      <w:pPr>
        <w:pStyle w:val="ListParagraph"/>
        <w:spacing w:line="240" w:lineRule="auto"/>
        <w:ind w:left="1400"/>
        <w:contextualSpacing w:val="0"/>
        <w:rPr>
          <w:sz w:val="24"/>
          <w:szCs w:val="24"/>
        </w:rPr>
      </w:pPr>
      <w:r w:rsidRPr="0006488F">
        <w:rPr>
          <w:sz w:val="24"/>
          <w:szCs w:val="24"/>
        </w:rPr>
        <w:t>The nominated supervisor</w:t>
      </w:r>
      <w:r w:rsidRPr="0006488F">
        <w:t xml:space="preserve"> </w:t>
      </w:r>
      <w:r w:rsidRPr="0006488F">
        <w:rPr>
          <w:sz w:val="24"/>
          <w:szCs w:val="24"/>
        </w:rPr>
        <w:t>is able to articulate the service</w:t>
      </w:r>
      <w:r>
        <w:rPr>
          <w:sz w:val="24"/>
          <w:szCs w:val="24"/>
        </w:rPr>
        <w:t>’</w:t>
      </w:r>
      <w:r w:rsidRPr="0006488F">
        <w:rPr>
          <w:sz w:val="24"/>
          <w:szCs w:val="24"/>
        </w:rPr>
        <w:t xml:space="preserve">s responsibilities regarding when to notify the Regulatory Authority. However the service recently erected a new fence at the service during operating hours and the Regulatory Authority was not notified. </w:t>
      </w:r>
    </w:p>
    <w:p w:rsidR="00B668D4" w:rsidRPr="00B668D4" w:rsidRDefault="00B668D4" w:rsidP="003A73CA">
      <w:pPr>
        <w:pStyle w:val="ListParagraph"/>
        <w:numPr>
          <w:ilvl w:val="0"/>
          <w:numId w:val="2"/>
        </w:numPr>
        <w:spacing w:line="240" w:lineRule="auto"/>
        <w:contextualSpacing w:val="0"/>
        <w:rPr>
          <w:sz w:val="24"/>
          <w:szCs w:val="24"/>
        </w:rPr>
      </w:pPr>
      <w:r w:rsidRPr="00B668D4">
        <w:rPr>
          <w:sz w:val="24"/>
          <w:szCs w:val="24"/>
        </w:rPr>
        <w:t>The Quality Improvement Plan notes state:</w:t>
      </w:r>
    </w:p>
    <w:p w:rsidR="00B668D4" w:rsidRDefault="00B668D4" w:rsidP="003A73CA">
      <w:pPr>
        <w:pStyle w:val="ListParagraph"/>
        <w:spacing w:before="0" w:after="240" w:line="240" w:lineRule="auto"/>
        <w:ind w:left="1440"/>
        <w:contextualSpacing w:val="0"/>
        <w:rPr>
          <w:sz w:val="24"/>
          <w:szCs w:val="24"/>
        </w:rPr>
      </w:pPr>
      <w:r w:rsidRPr="00B668D4">
        <w:rPr>
          <w:sz w:val="24"/>
          <w:szCs w:val="24"/>
        </w:rPr>
        <w:t xml:space="preserve">To meet regulatory requirements the approved provider must ensure that the Regulatory Authority is notified of any circumstances which arise that may pose a risk to children's health, safety and wellbeing while being educated and cared </w:t>
      </w:r>
      <w:r>
        <w:rPr>
          <w:sz w:val="24"/>
          <w:szCs w:val="24"/>
        </w:rPr>
        <w:t>for by the service.</w:t>
      </w:r>
    </w:p>
    <w:p w:rsidR="009D743A" w:rsidRPr="0006488F" w:rsidRDefault="009D743A" w:rsidP="003A73CA">
      <w:pPr>
        <w:spacing w:before="0" w:line="240" w:lineRule="auto"/>
        <w:rPr>
          <w:i/>
          <w:sz w:val="24"/>
          <w:szCs w:val="24"/>
        </w:rPr>
      </w:pPr>
      <w:r w:rsidRPr="0006488F">
        <w:rPr>
          <w:i/>
          <w:sz w:val="24"/>
          <w:szCs w:val="24"/>
        </w:rPr>
        <w:t>First tier review</w:t>
      </w:r>
    </w:p>
    <w:p w:rsidR="009D743A" w:rsidRPr="003C40B7" w:rsidRDefault="009D743A" w:rsidP="003A73CA">
      <w:pPr>
        <w:pStyle w:val="ListParagraph"/>
        <w:numPr>
          <w:ilvl w:val="0"/>
          <w:numId w:val="2"/>
        </w:numPr>
        <w:spacing w:line="240" w:lineRule="auto"/>
        <w:contextualSpacing w:val="0"/>
        <w:rPr>
          <w:sz w:val="24"/>
          <w:szCs w:val="24"/>
        </w:rPr>
      </w:pPr>
      <w:r w:rsidRPr="003C40B7">
        <w:rPr>
          <w:sz w:val="24"/>
          <w:szCs w:val="24"/>
        </w:rPr>
        <w:t>At first tier review, the approved provider stated:</w:t>
      </w:r>
    </w:p>
    <w:p w:rsidR="009D743A" w:rsidRPr="003C40B7" w:rsidRDefault="009D743A" w:rsidP="003A73CA">
      <w:pPr>
        <w:spacing w:before="0" w:line="240" w:lineRule="auto"/>
        <w:ind w:left="1440"/>
        <w:rPr>
          <w:sz w:val="24"/>
          <w:szCs w:val="24"/>
        </w:rPr>
      </w:pPr>
      <w:r w:rsidRPr="003C40B7">
        <w:rPr>
          <w:sz w:val="24"/>
          <w:szCs w:val="24"/>
        </w:rPr>
        <w:t>We consider element 7.3.3 should be met as the service notifies the Regulatory Authority of any relevant changes to the operation of the service, of serious incidents and any complaints which allege a breach of legislation. There has been no change to the ‘operation’ of the service nor ‘serious incidents’ nor ‘complaints’ as stated in the element there was no need to notify the regulatory authority as there was no prescribed event to warrant notification.</w:t>
      </w:r>
    </w:p>
    <w:p w:rsidR="009D743A" w:rsidRPr="003C40B7" w:rsidRDefault="009D743A" w:rsidP="003A73CA">
      <w:pPr>
        <w:spacing w:before="0" w:after="240" w:line="240" w:lineRule="auto"/>
        <w:ind w:left="1440"/>
        <w:rPr>
          <w:sz w:val="24"/>
          <w:szCs w:val="24"/>
        </w:rPr>
      </w:pPr>
      <w:r w:rsidRPr="003C40B7">
        <w:rPr>
          <w:sz w:val="24"/>
          <w:szCs w:val="24"/>
        </w:rPr>
        <w:t>The service replaced an old boundary fence, the service engaged an accredited installer to install child proof temporary fence whilst the old fence was being replaced. There was no risk to the children’s health, safety and wellbeing at any time during the replacement. The service is aware of its obligations in relation to notifications and has no history of non-compliance, this time the service acted in good faith not knowing that this was a notifiable event.</w:t>
      </w:r>
    </w:p>
    <w:p w:rsidR="00960D6B" w:rsidRDefault="009D743A" w:rsidP="003A73CA">
      <w:pPr>
        <w:pStyle w:val="ListParagraph"/>
        <w:numPr>
          <w:ilvl w:val="0"/>
          <w:numId w:val="2"/>
        </w:numPr>
        <w:spacing w:line="240" w:lineRule="auto"/>
        <w:contextualSpacing w:val="0"/>
        <w:rPr>
          <w:sz w:val="24"/>
          <w:szCs w:val="24"/>
        </w:rPr>
      </w:pPr>
      <w:r w:rsidRPr="00960D6B">
        <w:rPr>
          <w:sz w:val="24"/>
          <w:szCs w:val="24"/>
        </w:rPr>
        <w:t>The regulatory authority considered the approved provider’s claim and noted that the approved provider did not submit any evidence to support the claim that the fence had been installed on Saturday 1 July 2017.</w:t>
      </w:r>
    </w:p>
    <w:p w:rsidR="00960D6B" w:rsidRDefault="009D743A" w:rsidP="003A73CA">
      <w:pPr>
        <w:pStyle w:val="ListParagraph"/>
        <w:numPr>
          <w:ilvl w:val="0"/>
          <w:numId w:val="2"/>
        </w:numPr>
        <w:spacing w:line="240" w:lineRule="auto"/>
        <w:contextualSpacing w:val="0"/>
        <w:rPr>
          <w:sz w:val="24"/>
          <w:szCs w:val="24"/>
        </w:rPr>
      </w:pPr>
      <w:r w:rsidRPr="00960D6B">
        <w:rPr>
          <w:sz w:val="24"/>
          <w:szCs w:val="24"/>
        </w:rPr>
        <w:t>In addition, the regulatory authority noted that section 173(2</w:t>
      </w:r>
      <w:proofErr w:type="gramStart"/>
      <w:r w:rsidRPr="00960D6B">
        <w:rPr>
          <w:sz w:val="24"/>
          <w:szCs w:val="24"/>
        </w:rPr>
        <w:t>)(</w:t>
      </w:r>
      <w:proofErr w:type="gramEnd"/>
      <w:r w:rsidRPr="00960D6B">
        <w:rPr>
          <w:sz w:val="24"/>
          <w:szCs w:val="24"/>
        </w:rPr>
        <w:t>c) requires an approved provider to notify the regulatory authority of any proposed change to the service premises.</w:t>
      </w:r>
      <w:r w:rsidR="00960D6B">
        <w:rPr>
          <w:sz w:val="24"/>
          <w:szCs w:val="24"/>
        </w:rPr>
        <w:t xml:space="preserve"> </w:t>
      </w:r>
    </w:p>
    <w:p w:rsidR="009D743A" w:rsidRPr="00960D6B" w:rsidRDefault="009D743A" w:rsidP="003A73CA">
      <w:pPr>
        <w:pStyle w:val="ListParagraph"/>
        <w:numPr>
          <w:ilvl w:val="0"/>
          <w:numId w:val="2"/>
        </w:numPr>
        <w:spacing w:line="240" w:lineRule="auto"/>
        <w:contextualSpacing w:val="0"/>
        <w:rPr>
          <w:sz w:val="24"/>
          <w:szCs w:val="24"/>
        </w:rPr>
      </w:pPr>
      <w:r w:rsidRPr="00960D6B">
        <w:rPr>
          <w:sz w:val="24"/>
          <w:szCs w:val="24"/>
        </w:rPr>
        <w:t>As a result, the regulatory authority found that, while the service demonstrated practice that is Meeting the NQS, there was insufficient evidence for element 7.3.3 to be met.</w:t>
      </w:r>
    </w:p>
    <w:p w:rsidR="009D743A" w:rsidRPr="0006488F" w:rsidRDefault="009D743A" w:rsidP="003A73CA">
      <w:pPr>
        <w:pStyle w:val="ListParagraph"/>
        <w:spacing w:before="0" w:after="0" w:line="240" w:lineRule="auto"/>
        <w:ind w:left="680"/>
        <w:rPr>
          <w:sz w:val="24"/>
          <w:szCs w:val="24"/>
        </w:rPr>
      </w:pPr>
    </w:p>
    <w:p w:rsidR="00795CC3" w:rsidRPr="0006488F" w:rsidRDefault="00795CC3" w:rsidP="003A73CA">
      <w:pPr>
        <w:spacing w:before="0" w:line="240" w:lineRule="auto"/>
        <w:rPr>
          <w:i/>
          <w:sz w:val="24"/>
          <w:szCs w:val="24"/>
        </w:rPr>
      </w:pPr>
      <w:r w:rsidRPr="0006488F">
        <w:rPr>
          <w:i/>
          <w:sz w:val="24"/>
          <w:szCs w:val="24"/>
        </w:rPr>
        <w:t>Second tier review</w:t>
      </w:r>
    </w:p>
    <w:p w:rsidR="00795CC3" w:rsidRDefault="00795CC3" w:rsidP="003A73CA">
      <w:pPr>
        <w:pStyle w:val="ListParagraph"/>
        <w:numPr>
          <w:ilvl w:val="0"/>
          <w:numId w:val="2"/>
        </w:numPr>
        <w:spacing w:line="240" w:lineRule="auto"/>
        <w:contextualSpacing w:val="0"/>
        <w:rPr>
          <w:sz w:val="24"/>
          <w:szCs w:val="24"/>
        </w:rPr>
      </w:pPr>
      <w:r w:rsidRPr="00795CC3">
        <w:rPr>
          <w:sz w:val="24"/>
          <w:szCs w:val="24"/>
        </w:rPr>
        <w:t xml:space="preserve">At second tier review, the approved provider submitted a letter from the </w:t>
      </w:r>
      <w:r w:rsidR="00D52EA6">
        <w:rPr>
          <w:sz w:val="24"/>
          <w:szCs w:val="24"/>
        </w:rPr>
        <w:t>contractor</w:t>
      </w:r>
      <w:r w:rsidRPr="00795CC3">
        <w:rPr>
          <w:sz w:val="24"/>
          <w:szCs w:val="24"/>
        </w:rPr>
        <w:t xml:space="preserve"> that states the boundary fence was replaced on Saturday 1 July </w:t>
      </w:r>
      <w:r w:rsidRPr="00795CC3">
        <w:rPr>
          <w:sz w:val="24"/>
          <w:szCs w:val="24"/>
        </w:rPr>
        <w:lastRenderedPageBreak/>
        <w:t>2017 when no children were attending the service and therefore, there was no risk to the health, s</w:t>
      </w:r>
      <w:r>
        <w:rPr>
          <w:sz w:val="24"/>
          <w:szCs w:val="24"/>
        </w:rPr>
        <w:t>afety or wellbeing of children.</w:t>
      </w:r>
    </w:p>
    <w:p w:rsidR="00795CC3" w:rsidRPr="00B940EE" w:rsidRDefault="00795CC3" w:rsidP="003A73CA">
      <w:pPr>
        <w:pStyle w:val="ListParagraph"/>
        <w:numPr>
          <w:ilvl w:val="0"/>
          <w:numId w:val="2"/>
        </w:numPr>
        <w:spacing w:line="240" w:lineRule="auto"/>
        <w:contextualSpacing w:val="0"/>
        <w:rPr>
          <w:sz w:val="24"/>
          <w:szCs w:val="24"/>
        </w:rPr>
      </w:pPr>
      <w:r w:rsidRPr="00B940EE">
        <w:rPr>
          <w:sz w:val="24"/>
          <w:szCs w:val="24"/>
        </w:rPr>
        <w:t xml:space="preserve">The approved provider made the following </w:t>
      </w:r>
      <w:r w:rsidR="005B1521" w:rsidRPr="00B940EE">
        <w:rPr>
          <w:sz w:val="24"/>
          <w:szCs w:val="24"/>
        </w:rPr>
        <w:t xml:space="preserve">written </w:t>
      </w:r>
      <w:r w:rsidRPr="00B940EE">
        <w:rPr>
          <w:sz w:val="24"/>
          <w:szCs w:val="24"/>
        </w:rPr>
        <w:t>submission:</w:t>
      </w:r>
    </w:p>
    <w:p w:rsidR="00795CC3" w:rsidRPr="00B940EE" w:rsidRDefault="00795CC3" w:rsidP="003A73CA">
      <w:pPr>
        <w:pStyle w:val="ListParagraph"/>
        <w:spacing w:line="240" w:lineRule="auto"/>
        <w:ind w:left="1440"/>
        <w:contextualSpacing w:val="0"/>
        <w:rPr>
          <w:sz w:val="24"/>
          <w:szCs w:val="24"/>
        </w:rPr>
      </w:pPr>
      <w:r w:rsidRPr="00B940EE">
        <w:rPr>
          <w:sz w:val="24"/>
          <w:szCs w:val="24"/>
        </w:rPr>
        <w:t>The approved provider requests the Review Panel reconsider element 7.3.3 should be “met” and maintains there was no risk to the children’s health, safety and wellbeing at any time during the boundary fence replacement. The replacement actually took place on Saturday while the service was closed and no children were present. As evidence to support this application I provide</w:t>
      </w:r>
      <w:r w:rsidR="004A2569">
        <w:rPr>
          <w:sz w:val="24"/>
          <w:szCs w:val="24"/>
        </w:rPr>
        <w:t>d</w:t>
      </w:r>
      <w:r w:rsidRPr="00B940EE">
        <w:rPr>
          <w:sz w:val="24"/>
          <w:szCs w:val="24"/>
        </w:rPr>
        <w:t xml:space="preserve"> a letter confirming the replacement took place on Saturday 01/07/2017.</w:t>
      </w:r>
    </w:p>
    <w:p w:rsidR="00795CC3" w:rsidRPr="00B940EE" w:rsidRDefault="00795CC3" w:rsidP="003A73CA">
      <w:pPr>
        <w:pStyle w:val="ListParagraph"/>
        <w:spacing w:line="240" w:lineRule="auto"/>
        <w:ind w:left="1440"/>
        <w:contextualSpacing w:val="0"/>
        <w:rPr>
          <w:sz w:val="24"/>
          <w:szCs w:val="24"/>
        </w:rPr>
      </w:pPr>
      <w:r w:rsidRPr="00B940EE">
        <w:rPr>
          <w:sz w:val="24"/>
          <w:szCs w:val="24"/>
        </w:rPr>
        <w:t>The reason this letter was not provided for the first tier review is that I believed the information provided was sufficient however the letter is now provided as evidence to support my application for second tier review.</w:t>
      </w:r>
    </w:p>
    <w:p w:rsidR="00795CC3" w:rsidRPr="00B940EE" w:rsidRDefault="00795CC3" w:rsidP="003A73CA">
      <w:pPr>
        <w:pStyle w:val="ListParagraph"/>
        <w:spacing w:line="240" w:lineRule="auto"/>
        <w:ind w:left="1440"/>
        <w:contextualSpacing w:val="0"/>
        <w:rPr>
          <w:sz w:val="24"/>
          <w:szCs w:val="24"/>
        </w:rPr>
      </w:pPr>
      <w:r w:rsidRPr="00B940EE">
        <w:rPr>
          <w:sz w:val="24"/>
          <w:szCs w:val="24"/>
        </w:rPr>
        <w:t>The service is aware of its obligations to provide [a] safe environment for children [and] therefore installed child proof temporary pool fence as a precaution [if</w:t>
      </w:r>
      <w:r w:rsidR="005B1521" w:rsidRPr="00B940EE">
        <w:rPr>
          <w:sz w:val="24"/>
          <w:szCs w:val="24"/>
        </w:rPr>
        <w:t xml:space="preserve"> the] fence replacement [was] not completed in one day. The work was completed on the same day (Saturday), the temporary fence was not needed and removed shortly after.</w:t>
      </w:r>
    </w:p>
    <w:p w:rsidR="005B1521" w:rsidRDefault="005B1521" w:rsidP="008D2967">
      <w:pPr>
        <w:pStyle w:val="ListParagraph"/>
        <w:spacing w:after="360" w:line="240" w:lineRule="auto"/>
        <w:ind w:left="1440"/>
        <w:contextualSpacing w:val="0"/>
        <w:rPr>
          <w:sz w:val="24"/>
          <w:szCs w:val="24"/>
        </w:rPr>
      </w:pPr>
      <w:r w:rsidRPr="00B940EE">
        <w:rPr>
          <w:sz w:val="24"/>
          <w:szCs w:val="24"/>
        </w:rPr>
        <w:t>The service has no history non-compliance and in this case did not notify the Regulatory Authority as it believes there was no risk to the children that warrant[</w:t>
      </w:r>
      <w:proofErr w:type="spellStart"/>
      <w:proofErr w:type="gramStart"/>
      <w:r w:rsidRPr="00B940EE">
        <w:rPr>
          <w:sz w:val="24"/>
          <w:szCs w:val="24"/>
        </w:rPr>
        <w:t>ed</w:t>
      </w:r>
      <w:proofErr w:type="spellEnd"/>
      <w:proofErr w:type="gramEnd"/>
      <w:r w:rsidRPr="00B940EE">
        <w:rPr>
          <w:sz w:val="24"/>
          <w:szCs w:val="24"/>
        </w:rPr>
        <w:t>] notification and requests element 7.3.3 changed to “met” and overall service rating to “Meeting”.</w:t>
      </w:r>
    </w:p>
    <w:p w:rsidR="00B440D8" w:rsidRDefault="00B440D8" w:rsidP="00753146">
      <w:pPr>
        <w:pStyle w:val="ListParagraph"/>
        <w:numPr>
          <w:ilvl w:val="0"/>
          <w:numId w:val="2"/>
        </w:numPr>
        <w:spacing w:after="360" w:line="240" w:lineRule="auto"/>
        <w:contextualSpacing w:val="0"/>
        <w:rPr>
          <w:sz w:val="24"/>
          <w:szCs w:val="24"/>
        </w:rPr>
      </w:pPr>
      <w:r>
        <w:rPr>
          <w:sz w:val="24"/>
          <w:szCs w:val="24"/>
        </w:rPr>
        <w:t>The regulatory authority was provided with a</w:t>
      </w:r>
      <w:r w:rsidR="002E17E3">
        <w:rPr>
          <w:sz w:val="24"/>
          <w:szCs w:val="24"/>
        </w:rPr>
        <w:t xml:space="preserve"> </w:t>
      </w:r>
      <w:r>
        <w:rPr>
          <w:sz w:val="24"/>
          <w:szCs w:val="24"/>
        </w:rPr>
        <w:t xml:space="preserve">copy of the approved provider’s </w:t>
      </w:r>
      <w:r w:rsidR="002E17E3">
        <w:rPr>
          <w:sz w:val="24"/>
          <w:szCs w:val="24"/>
        </w:rPr>
        <w:t xml:space="preserve">second tier review </w:t>
      </w:r>
      <w:r>
        <w:rPr>
          <w:sz w:val="24"/>
          <w:szCs w:val="24"/>
        </w:rPr>
        <w:t xml:space="preserve">application and </w:t>
      </w:r>
      <w:r w:rsidR="004C14A9">
        <w:rPr>
          <w:sz w:val="24"/>
          <w:szCs w:val="24"/>
        </w:rPr>
        <w:t>the letter from the contractor</w:t>
      </w:r>
      <w:r>
        <w:rPr>
          <w:sz w:val="24"/>
          <w:szCs w:val="24"/>
        </w:rPr>
        <w:t xml:space="preserve"> and provided no additional information.</w:t>
      </w:r>
    </w:p>
    <w:p w:rsidR="005B1521" w:rsidRPr="009C3A39" w:rsidRDefault="005B1521" w:rsidP="008D2967">
      <w:pPr>
        <w:spacing w:line="240" w:lineRule="auto"/>
        <w:rPr>
          <w:rFonts w:cs="Arial"/>
          <w:b/>
          <w:sz w:val="24"/>
          <w:szCs w:val="24"/>
        </w:rPr>
      </w:pPr>
      <w:r>
        <w:rPr>
          <w:rFonts w:cs="Arial"/>
          <w:b/>
          <w:sz w:val="24"/>
          <w:szCs w:val="24"/>
        </w:rPr>
        <w:t>Ratings review p</w:t>
      </w:r>
      <w:r w:rsidRPr="009C3A39">
        <w:rPr>
          <w:rFonts w:cs="Arial"/>
          <w:b/>
          <w:sz w:val="24"/>
          <w:szCs w:val="24"/>
        </w:rPr>
        <w:t>anel</w:t>
      </w:r>
      <w:r>
        <w:rPr>
          <w:rFonts w:cs="Arial"/>
          <w:b/>
          <w:sz w:val="24"/>
          <w:szCs w:val="24"/>
        </w:rPr>
        <w:t>’s</w:t>
      </w:r>
      <w:r w:rsidRPr="009C3A39">
        <w:rPr>
          <w:rFonts w:cs="Arial"/>
          <w:b/>
          <w:sz w:val="24"/>
          <w:szCs w:val="24"/>
        </w:rPr>
        <w:t xml:space="preserve"> considerations</w:t>
      </w:r>
    </w:p>
    <w:p w:rsidR="003A73CA" w:rsidRDefault="005766A3" w:rsidP="003A73CA">
      <w:pPr>
        <w:pStyle w:val="ListParagraph"/>
        <w:numPr>
          <w:ilvl w:val="0"/>
          <w:numId w:val="2"/>
        </w:numPr>
        <w:spacing w:line="240" w:lineRule="auto"/>
        <w:contextualSpacing w:val="0"/>
        <w:rPr>
          <w:sz w:val="24"/>
          <w:szCs w:val="24"/>
        </w:rPr>
      </w:pPr>
      <w:r>
        <w:rPr>
          <w:sz w:val="24"/>
          <w:szCs w:val="24"/>
        </w:rPr>
        <w:t>T</w:t>
      </w:r>
      <w:r w:rsidR="003A73CA" w:rsidRPr="003A73CA">
        <w:rPr>
          <w:sz w:val="24"/>
          <w:szCs w:val="24"/>
        </w:rPr>
        <w:t xml:space="preserve">he Panel </w:t>
      </w:r>
      <w:r w:rsidR="00C4600C">
        <w:rPr>
          <w:sz w:val="24"/>
          <w:szCs w:val="24"/>
        </w:rPr>
        <w:t>discussed</w:t>
      </w:r>
      <w:r w:rsidR="003A73CA" w:rsidRPr="003A73CA">
        <w:rPr>
          <w:sz w:val="24"/>
          <w:szCs w:val="24"/>
        </w:rPr>
        <w:t xml:space="preserve"> whether the replacement of the boundary fence posed a risk to the health and safety of children at the service and therefore required notification under section 174(2</w:t>
      </w:r>
      <w:proofErr w:type="gramStart"/>
      <w:r w:rsidR="003A73CA" w:rsidRPr="003A73CA">
        <w:rPr>
          <w:sz w:val="24"/>
          <w:szCs w:val="24"/>
        </w:rPr>
        <w:t>)(</w:t>
      </w:r>
      <w:proofErr w:type="gramEnd"/>
      <w:r w:rsidR="003A73CA" w:rsidRPr="003A73CA">
        <w:rPr>
          <w:sz w:val="24"/>
          <w:szCs w:val="24"/>
        </w:rPr>
        <w:t xml:space="preserve">c). </w:t>
      </w:r>
    </w:p>
    <w:p w:rsidR="005766A3" w:rsidRPr="00C4600C" w:rsidRDefault="00C4600C" w:rsidP="003A73CA">
      <w:pPr>
        <w:pStyle w:val="ListParagraph"/>
        <w:numPr>
          <w:ilvl w:val="0"/>
          <w:numId w:val="2"/>
        </w:numPr>
        <w:spacing w:line="240" w:lineRule="auto"/>
        <w:contextualSpacing w:val="0"/>
        <w:rPr>
          <w:sz w:val="24"/>
          <w:szCs w:val="24"/>
        </w:rPr>
      </w:pPr>
      <w:r w:rsidRPr="00C4600C">
        <w:rPr>
          <w:sz w:val="24"/>
          <w:szCs w:val="24"/>
        </w:rPr>
        <w:t>In its discussion</w:t>
      </w:r>
      <w:r w:rsidR="005766A3" w:rsidRPr="00C4600C">
        <w:rPr>
          <w:sz w:val="24"/>
          <w:szCs w:val="24"/>
        </w:rPr>
        <w:t xml:space="preserve">, the Panel considered the approved provider’s submission that the </w:t>
      </w:r>
      <w:r w:rsidRPr="00C4600C">
        <w:rPr>
          <w:sz w:val="24"/>
          <w:szCs w:val="24"/>
        </w:rPr>
        <w:t xml:space="preserve">fence </w:t>
      </w:r>
      <w:r w:rsidR="005766A3" w:rsidRPr="00C4600C">
        <w:rPr>
          <w:sz w:val="24"/>
          <w:szCs w:val="24"/>
        </w:rPr>
        <w:t xml:space="preserve">replacement occurred on Saturday 1 July 2017 when no children were attending the service and the accompanying letter from the </w:t>
      </w:r>
      <w:r w:rsidR="00D52EA6">
        <w:rPr>
          <w:sz w:val="24"/>
          <w:szCs w:val="24"/>
        </w:rPr>
        <w:t>contractor</w:t>
      </w:r>
      <w:r w:rsidR="005766A3" w:rsidRPr="00C4600C">
        <w:rPr>
          <w:sz w:val="24"/>
          <w:szCs w:val="24"/>
        </w:rPr>
        <w:t xml:space="preserve"> which was supplied at second tier review to support this assertion.</w:t>
      </w:r>
    </w:p>
    <w:p w:rsidR="005766A3" w:rsidRDefault="00C4600C" w:rsidP="005766A3">
      <w:pPr>
        <w:pStyle w:val="ListParagraph"/>
        <w:numPr>
          <w:ilvl w:val="0"/>
          <w:numId w:val="2"/>
        </w:numPr>
        <w:spacing w:line="240" w:lineRule="auto"/>
        <w:contextualSpacing w:val="0"/>
        <w:rPr>
          <w:sz w:val="24"/>
          <w:szCs w:val="24"/>
        </w:rPr>
      </w:pPr>
      <w:r>
        <w:rPr>
          <w:sz w:val="24"/>
          <w:szCs w:val="24"/>
        </w:rPr>
        <w:t xml:space="preserve">The Panel </w:t>
      </w:r>
      <w:r w:rsidR="00E360E1">
        <w:rPr>
          <w:sz w:val="24"/>
          <w:szCs w:val="24"/>
        </w:rPr>
        <w:t>discussed</w:t>
      </w:r>
      <w:r w:rsidR="005766A3" w:rsidRPr="005766A3">
        <w:rPr>
          <w:sz w:val="24"/>
          <w:szCs w:val="24"/>
        </w:rPr>
        <w:t xml:space="preserve"> whether the installation of a temporary fence (mentioned in the provider’s submission to the first tier review) indicated that the fence was installed while children were attending the service; however it dismissed this suggestion, noting the provider’s submission at second tier review that the temporary fence was a contingency in case the replacement could </w:t>
      </w:r>
      <w:r>
        <w:rPr>
          <w:sz w:val="24"/>
          <w:szCs w:val="24"/>
        </w:rPr>
        <w:t>not be completed on the weekend. In the Panel’s view, this seemed reasonable.</w:t>
      </w:r>
    </w:p>
    <w:p w:rsidR="00B440D8" w:rsidRDefault="005766A3" w:rsidP="005766A3">
      <w:pPr>
        <w:pStyle w:val="ListParagraph"/>
        <w:numPr>
          <w:ilvl w:val="0"/>
          <w:numId w:val="2"/>
        </w:numPr>
        <w:spacing w:line="240" w:lineRule="auto"/>
        <w:contextualSpacing w:val="0"/>
        <w:rPr>
          <w:sz w:val="24"/>
          <w:szCs w:val="24"/>
        </w:rPr>
      </w:pPr>
      <w:r w:rsidRPr="00C4600C">
        <w:rPr>
          <w:sz w:val="24"/>
          <w:szCs w:val="24"/>
        </w:rPr>
        <w:lastRenderedPageBreak/>
        <w:t xml:space="preserve">The Panel </w:t>
      </w:r>
      <w:r w:rsidR="000C3D7C">
        <w:rPr>
          <w:sz w:val="24"/>
          <w:szCs w:val="24"/>
        </w:rPr>
        <w:t>noted</w:t>
      </w:r>
      <w:r w:rsidR="000C3D7C" w:rsidRPr="00C4600C">
        <w:rPr>
          <w:sz w:val="24"/>
          <w:szCs w:val="24"/>
        </w:rPr>
        <w:t xml:space="preserve"> </w:t>
      </w:r>
      <w:r w:rsidRPr="00C4600C">
        <w:rPr>
          <w:sz w:val="24"/>
          <w:szCs w:val="24"/>
        </w:rPr>
        <w:t xml:space="preserve">that the regulatory authority </w:t>
      </w:r>
      <w:r w:rsidR="000C3D7C">
        <w:rPr>
          <w:sz w:val="24"/>
          <w:szCs w:val="24"/>
        </w:rPr>
        <w:t>relied on</w:t>
      </w:r>
      <w:r w:rsidR="00B440D8">
        <w:rPr>
          <w:sz w:val="24"/>
          <w:szCs w:val="24"/>
        </w:rPr>
        <w:t xml:space="preserve"> </w:t>
      </w:r>
      <w:r w:rsidR="00DE4790">
        <w:rPr>
          <w:sz w:val="24"/>
          <w:szCs w:val="24"/>
        </w:rPr>
        <w:t>a</w:t>
      </w:r>
      <w:r w:rsidR="00135812">
        <w:rPr>
          <w:sz w:val="24"/>
          <w:szCs w:val="24"/>
        </w:rPr>
        <w:t xml:space="preserve"> brief reference in </w:t>
      </w:r>
      <w:r w:rsidR="00B440D8">
        <w:rPr>
          <w:sz w:val="24"/>
          <w:szCs w:val="24"/>
        </w:rPr>
        <w:t xml:space="preserve">the authorised officer’s </w:t>
      </w:r>
      <w:r w:rsidR="003C3138">
        <w:rPr>
          <w:sz w:val="24"/>
          <w:szCs w:val="24"/>
        </w:rPr>
        <w:t>report</w:t>
      </w:r>
      <w:r w:rsidR="00135812">
        <w:rPr>
          <w:sz w:val="24"/>
          <w:szCs w:val="24"/>
        </w:rPr>
        <w:t xml:space="preserve"> that the fence was replaced during operating hours</w:t>
      </w:r>
      <w:r w:rsidR="00B440D8">
        <w:rPr>
          <w:sz w:val="24"/>
          <w:szCs w:val="24"/>
        </w:rPr>
        <w:t xml:space="preserve"> </w:t>
      </w:r>
      <w:r w:rsidR="000C3D7C">
        <w:rPr>
          <w:sz w:val="24"/>
          <w:szCs w:val="24"/>
        </w:rPr>
        <w:t xml:space="preserve">and </w:t>
      </w:r>
      <w:r w:rsidR="00373EF0">
        <w:rPr>
          <w:sz w:val="24"/>
          <w:szCs w:val="24"/>
        </w:rPr>
        <w:t>that it found there was insufficient evidence to the contrary from the approved provider.</w:t>
      </w:r>
    </w:p>
    <w:p w:rsidR="000C3D7C" w:rsidRPr="000C3D7C" w:rsidRDefault="000C3D7C" w:rsidP="000C3D7C">
      <w:pPr>
        <w:pStyle w:val="ListParagraph"/>
        <w:numPr>
          <w:ilvl w:val="0"/>
          <w:numId w:val="2"/>
        </w:numPr>
        <w:spacing w:line="240" w:lineRule="auto"/>
        <w:contextualSpacing w:val="0"/>
        <w:rPr>
          <w:sz w:val="24"/>
          <w:szCs w:val="24"/>
        </w:rPr>
      </w:pPr>
      <w:r w:rsidRPr="000C3D7C">
        <w:rPr>
          <w:sz w:val="24"/>
          <w:szCs w:val="24"/>
        </w:rPr>
        <w:t xml:space="preserve">On balance, the Panel concluded </w:t>
      </w:r>
      <w:r w:rsidR="00373EF0">
        <w:rPr>
          <w:sz w:val="24"/>
          <w:szCs w:val="24"/>
        </w:rPr>
        <w:t>that the</w:t>
      </w:r>
      <w:r w:rsidRPr="000C3D7C">
        <w:rPr>
          <w:sz w:val="24"/>
          <w:szCs w:val="24"/>
        </w:rPr>
        <w:t xml:space="preserve"> approved provider’s submission and the letter from the con</w:t>
      </w:r>
      <w:r>
        <w:rPr>
          <w:sz w:val="24"/>
          <w:szCs w:val="24"/>
        </w:rPr>
        <w:t>t</w:t>
      </w:r>
      <w:r w:rsidRPr="000C3D7C">
        <w:rPr>
          <w:sz w:val="24"/>
          <w:szCs w:val="24"/>
        </w:rPr>
        <w:t>ractor</w:t>
      </w:r>
      <w:r w:rsidR="003C3138">
        <w:rPr>
          <w:sz w:val="24"/>
          <w:szCs w:val="24"/>
        </w:rPr>
        <w:t xml:space="preserve"> stating</w:t>
      </w:r>
      <w:r w:rsidRPr="000C3D7C">
        <w:rPr>
          <w:sz w:val="24"/>
          <w:szCs w:val="24"/>
        </w:rPr>
        <w:t xml:space="preserve"> there were</w:t>
      </w:r>
      <w:r w:rsidR="003C3138">
        <w:rPr>
          <w:sz w:val="24"/>
          <w:szCs w:val="24"/>
        </w:rPr>
        <w:t xml:space="preserve"> no</w:t>
      </w:r>
      <w:r w:rsidRPr="000C3D7C">
        <w:rPr>
          <w:sz w:val="24"/>
          <w:szCs w:val="24"/>
        </w:rPr>
        <w:t xml:space="preserve"> children </w:t>
      </w:r>
      <w:r>
        <w:rPr>
          <w:sz w:val="24"/>
          <w:szCs w:val="24"/>
        </w:rPr>
        <w:t>attending the service</w:t>
      </w:r>
      <w:r w:rsidRPr="000C3D7C">
        <w:rPr>
          <w:sz w:val="24"/>
          <w:szCs w:val="24"/>
        </w:rPr>
        <w:t xml:space="preserve"> </w:t>
      </w:r>
      <w:r>
        <w:rPr>
          <w:sz w:val="24"/>
          <w:szCs w:val="24"/>
        </w:rPr>
        <w:t>at the time of the fence replacement</w:t>
      </w:r>
      <w:r w:rsidR="003C3138">
        <w:rPr>
          <w:sz w:val="24"/>
          <w:szCs w:val="24"/>
        </w:rPr>
        <w:t>,</w:t>
      </w:r>
      <w:r w:rsidRPr="000C3D7C">
        <w:rPr>
          <w:sz w:val="24"/>
          <w:szCs w:val="24"/>
        </w:rPr>
        <w:t xml:space="preserve"> and therefore no risk to children’s health, safety or wellbeing</w:t>
      </w:r>
      <w:r w:rsidR="003C3138">
        <w:rPr>
          <w:sz w:val="24"/>
          <w:szCs w:val="24"/>
        </w:rPr>
        <w:t>, was more compelling</w:t>
      </w:r>
      <w:r w:rsidR="00135812">
        <w:rPr>
          <w:sz w:val="24"/>
          <w:szCs w:val="24"/>
        </w:rPr>
        <w:t>.</w:t>
      </w:r>
    </w:p>
    <w:p w:rsidR="006B4D78" w:rsidRPr="008D2967" w:rsidRDefault="006B4D78" w:rsidP="006B4D78">
      <w:pPr>
        <w:pStyle w:val="ListParagraph"/>
        <w:numPr>
          <w:ilvl w:val="0"/>
          <w:numId w:val="2"/>
        </w:numPr>
        <w:spacing w:line="240" w:lineRule="auto"/>
        <w:contextualSpacing w:val="0"/>
        <w:rPr>
          <w:sz w:val="24"/>
          <w:szCs w:val="24"/>
        </w:rPr>
      </w:pPr>
      <w:r w:rsidRPr="008D2967">
        <w:rPr>
          <w:sz w:val="24"/>
          <w:szCs w:val="24"/>
        </w:rPr>
        <w:t xml:space="preserve">The Panel </w:t>
      </w:r>
      <w:r w:rsidR="000C3D7C">
        <w:rPr>
          <w:sz w:val="24"/>
          <w:szCs w:val="24"/>
        </w:rPr>
        <w:t xml:space="preserve">also </w:t>
      </w:r>
      <w:r w:rsidRPr="008D2967">
        <w:rPr>
          <w:sz w:val="24"/>
          <w:szCs w:val="24"/>
        </w:rPr>
        <w:t>considered whether the replacement of the fence constituted a notifiable event under s</w:t>
      </w:r>
      <w:r w:rsidR="008D2967" w:rsidRPr="008D2967">
        <w:rPr>
          <w:sz w:val="24"/>
          <w:szCs w:val="24"/>
        </w:rPr>
        <w:t>ection 173(2)(c) which required the approved provider</w:t>
      </w:r>
      <w:r w:rsidRPr="008D2967">
        <w:rPr>
          <w:sz w:val="24"/>
          <w:szCs w:val="24"/>
        </w:rPr>
        <w:t xml:space="preserve"> to notify the regulatory authority of ‘any proposed change to the education and care service premises of an approved education and care service (other than a family day care residence)’. It considered this question in response to the first tier review p</w:t>
      </w:r>
      <w:r w:rsidR="00E360E1" w:rsidRPr="008D2967">
        <w:rPr>
          <w:sz w:val="24"/>
          <w:szCs w:val="24"/>
        </w:rPr>
        <w:t xml:space="preserve">anel’s suggestion </w:t>
      </w:r>
      <w:r w:rsidRPr="008D2967">
        <w:rPr>
          <w:sz w:val="24"/>
          <w:szCs w:val="24"/>
        </w:rPr>
        <w:t>that the service had failed t</w:t>
      </w:r>
      <w:r w:rsidR="00E360E1" w:rsidRPr="008D2967">
        <w:rPr>
          <w:sz w:val="24"/>
          <w:szCs w:val="24"/>
        </w:rPr>
        <w:t>o comply with this requirement:</w:t>
      </w:r>
    </w:p>
    <w:p w:rsidR="003522EA" w:rsidRPr="008D2967" w:rsidRDefault="003522EA" w:rsidP="006B4D78">
      <w:pPr>
        <w:pStyle w:val="ListParagraph"/>
        <w:numPr>
          <w:ilvl w:val="0"/>
          <w:numId w:val="2"/>
        </w:numPr>
        <w:spacing w:line="240" w:lineRule="auto"/>
        <w:contextualSpacing w:val="0"/>
        <w:rPr>
          <w:sz w:val="24"/>
          <w:szCs w:val="24"/>
        </w:rPr>
      </w:pPr>
      <w:r w:rsidRPr="008D2967">
        <w:rPr>
          <w:i/>
          <w:sz w:val="24"/>
          <w:szCs w:val="24"/>
        </w:rPr>
        <w:t>The Guide to the NQF</w:t>
      </w:r>
      <w:r w:rsidRPr="008D2967">
        <w:rPr>
          <w:sz w:val="24"/>
          <w:szCs w:val="24"/>
        </w:rPr>
        <w:t xml:space="preserve"> (p. 457)</w:t>
      </w:r>
      <w:r w:rsidR="00D259B7">
        <w:rPr>
          <w:rStyle w:val="FootnoteReference"/>
          <w:sz w:val="24"/>
          <w:szCs w:val="24"/>
        </w:rPr>
        <w:footnoteReference w:id="1"/>
      </w:r>
      <w:r w:rsidR="000E0737" w:rsidRPr="000E0737">
        <w:rPr>
          <w:sz w:val="24"/>
          <w:szCs w:val="24"/>
          <w:vertAlign w:val="superscript"/>
        </w:rPr>
        <w:t>,</w:t>
      </w:r>
      <w:r w:rsidR="000E0737">
        <w:rPr>
          <w:rStyle w:val="FootnoteReference"/>
          <w:sz w:val="24"/>
          <w:szCs w:val="24"/>
        </w:rPr>
        <w:footnoteReference w:id="2"/>
      </w:r>
      <w:r w:rsidRPr="008D2967">
        <w:rPr>
          <w:sz w:val="24"/>
          <w:szCs w:val="24"/>
        </w:rPr>
        <w:t xml:space="preserve"> includes a table which </w:t>
      </w:r>
      <w:r w:rsidR="00E360E1" w:rsidRPr="008D2967">
        <w:rPr>
          <w:sz w:val="24"/>
          <w:szCs w:val="24"/>
        </w:rPr>
        <w:t xml:space="preserve">refers to section 173(2)(c): </w:t>
      </w:r>
    </w:p>
    <w:p w:rsidR="00E360E1" w:rsidRPr="008D2967" w:rsidRDefault="00E360E1" w:rsidP="003522EA">
      <w:pPr>
        <w:pStyle w:val="ListParagraph"/>
        <w:spacing w:line="240" w:lineRule="auto"/>
        <w:ind w:left="1440"/>
        <w:contextualSpacing w:val="0"/>
        <w:rPr>
          <w:sz w:val="24"/>
          <w:szCs w:val="24"/>
        </w:rPr>
      </w:pPr>
      <w:r w:rsidRPr="008D2967">
        <w:rPr>
          <w:sz w:val="24"/>
          <w:szCs w:val="24"/>
        </w:rPr>
        <w:t>‘</w:t>
      </w:r>
      <w:proofErr w:type="gramStart"/>
      <w:r w:rsidRPr="008D2967">
        <w:rPr>
          <w:sz w:val="24"/>
          <w:szCs w:val="24"/>
        </w:rPr>
        <w:t>any</w:t>
      </w:r>
      <w:proofErr w:type="gramEnd"/>
      <w:r w:rsidRPr="008D2967">
        <w:rPr>
          <w:sz w:val="24"/>
          <w:szCs w:val="24"/>
        </w:rPr>
        <w:t xml:space="preserve"> proposed change to the education and care service premises, such as refurbishment’. </w:t>
      </w:r>
    </w:p>
    <w:p w:rsidR="003522EA" w:rsidRPr="008D2967" w:rsidRDefault="003522EA" w:rsidP="003522EA">
      <w:pPr>
        <w:pStyle w:val="ListParagraph"/>
        <w:numPr>
          <w:ilvl w:val="0"/>
          <w:numId w:val="2"/>
        </w:numPr>
        <w:spacing w:before="0" w:line="240" w:lineRule="auto"/>
        <w:contextualSpacing w:val="0"/>
        <w:rPr>
          <w:rFonts w:cstheme="minorHAnsi"/>
          <w:sz w:val="24"/>
          <w:szCs w:val="24"/>
        </w:rPr>
      </w:pPr>
      <w:r w:rsidRPr="008D2967">
        <w:rPr>
          <w:rFonts w:cstheme="minorHAnsi"/>
          <w:i/>
          <w:sz w:val="24"/>
          <w:szCs w:val="24"/>
        </w:rPr>
        <w:t xml:space="preserve">The Guide to the NQS </w:t>
      </w:r>
      <w:r w:rsidRPr="008D2967">
        <w:rPr>
          <w:rFonts w:cstheme="minorHAnsi"/>
          <w:sz w:val="24"/>
          <w:szCs w:val="24"/>
        </w:rPr>
        <w:t>(p. 186)</w:t>
      </w:r>
      <w:r w:rsidRPr="008D2967">
        <w:rPr>
          <w:rStyle w:val="FootnoteReference"/>
          <w:rFonts w:cstheme="minorHAnsi"/>
          <w:sz w:val="24"/>
          <w:szCs w:val="24"/>
        </w:rPr>
        <w:footnoteReference w:id="3"/>
      </w:r>
      <w:r w:rsidRPr="008D2967">
        <w:rPr>
          <w:rFonts w:cstheme="minorHAnsi"/>
          <w:sz w:val="24"/>
          <w:szCs w:val="24"/>
        </w:rPr>
        <w:t xml:space="preserve"> includes information about element 7.3.3. It states under the heading ‘what we aim to achieve with element 7.3.3’ that:</w:t>
      </w:r>
    </w:p>
    <w:p w:rsidR="003522EA" w:rsidRPr="00546FD6" w:rsidRDefault="003522EA" w:rsidP="003522EA">
      <w:pPr>
        <w:pStyle w:val="ListParagraph"/>
        <w:spacing w:after="0" w:line="240" w:lineRule="auto"/>
        <w:ind w:left="1440"/>
        <w:rPr>
          <w:rFonts w:cstheme="minorHAnsi"/>
          <w:sz w:val="24"/>
          <w:szCs w:val="24"/>
        </w:rPr>
      </w:pPr>
      <w:r w:rsidRPr="008D2967">
        <w:rPr>
          <w:rFonts w:cstheme="minorHAnsi"/>
          <w:sz w:val="24"/>
          <w:szCs w:val="24"/>
        </w:rPr>
        <w:t>‘Responsibility for notifying the Regulatory Authority of any significant changes to the operation of the service rests with the approved provider’.</w:t>
      </w:r>
    </w:p>
    <w:p w:rsidR="006B4D78" w:rsidRPr="00C4600C" w:rsidRDefault="006B4D78" w:rsidP="008D2967">
      <w:pPr>
        <w:pStyle w:val="ListParagraph"/>
        <w:numPr>
          <w:ilvl w:val="0"/>
          <w:numId w:val="2"/>
        </w:numPr>
        <w:spacing w:after="360" w:line="240" w:lineRule="auto"/>
        <w:contextualSpacing w:val="0"/>
        <w:rPr>
          <w:sz w:val="24"/>
          <w:szCs w:val="24"/>
        </w:rPr>
      </w:pPr>
      <w:r w:rsidRPr="006B4D78">
        <w:rPr>
          <w:sz w:val="24"/>
          <w:szCs w:val="24"/>
        </w:rPr>
        <w:t xml:space="preserve">The Panel agreed that the replacement of </w:t>
      </w:r>
      <w:r w:rsidR="00413679">
        <w:rPr>
          <w:sz w:val="24"/>
          <w:szCs w:val="24"/>
        </w:rPr>
        <w:t>an existing</w:t>
      </w:r>
      <w:r w:rsidR="00413679" w:rsidRPr="006B4D78">
        <w:rPr>
          <w:sz w:val="24"/>
          <w:szCs w:val="24"/>
        </w:rPr>
        <w:t xml:space="preserve"> </w:t>
      </w:r>
      <w:r w:rsidRPr="006B4D78">
        <w:rPr>
          <w:sz w:val="24"/>
          <w:szCs w:val="24"/>
        </w:rPr>
        <w:t>fence was not a notifiable event as intended by the National Law and Regulations</w:t>
      </w:r>
      <w:r w:rsidR="006B1943">
        <w:rPr>
          <w:sz w:val="24"/>
          <w:szCs w:val="24"/>
        </w:rPr>
        <w:t xml:space="preserve"> as it did not change the premises, merely retain them in a form consistent with their approval</w:t>
      </w:r>
      <w:r w:rsidRPr="006B4D78">
        <w:rPr>
          <w:sz w:val="24"/>
          <w:szCs w:val="24"/>
        </w:rPr>
        <w:t>.</w:t>
      </w:r>
    </w:p>
    <w:p w:rsidR="005B1521" w:rsidRPr="00C45D40" w:rsidRDefault="005B1521" w:rsidP="003A73CA">
      <w:pPr>
        <w:spacing w:line="240" w:lineRule="auto"/>
        <w:rPr>
          <w:rFonts w:cs="Arial"/>
          <w:b/>
          <w:sz w:val="24"/>
          <w:szCs w:val="24"/>
        </w:rPr>
      </w:pPr>
      <w:r w:rsidRPr="00C45D40">
        <w:rPr>
          <w:rFonts w:cs="Arial"/>
          <w:b/>
          <w:sz w:val="24"/>
          <w:szCs w:val="24"/>
        </w:rPr>
        <w:t xml:space="preserve">Additional comments from the </w:t>
      </w:r>
      <w:r>
        <w:rPr>
          <w:rFonts w:cs="Arial"/>
          <w:b/>
          <w:sz w:val="24"/>
          <w:szCs w:val="24"/>
        </w:rPr>
        <w:t xml:space="preserve">ratings review </w:t>
      </w:r>
      <w:r w:rsidRPr="00C45D40">
        <w:rPr>
          <w:rFonts w:cs="Arial"/>
          <w:b/>
          <w:sz w:val="24"/>
          <w:szCs w:val="24"/>
        </w:rPr>
        <w:t>panel</w:t>
      </w:r>
    </w:p>
    <w:p w:rsidR="008D2967" w:rsidRDefault="00C4600C" w:rsidP="00C4600C">
      <w:pPr>
        <w:pStyle w:val="ListParagraph"/>
        <w:numPr>
          <w:ilvl w:val="0"/>
          <w:numId w:val="2"/>
        </w:numPr>
        <w:spacing w:line="240" w:lineRule="auto"/>
        <w:contextualSpacing w:val="0"/>
        <w:rPr>
          <w:sz w:val="24"/>
          <w:szCs w:val="24"/>
        </w:rPr>
      </w:pPr>
      <w:r w:rsidRPr="00C4600C">
        <w:rPr>
          <w:sz w:val="24"/>
          <w:szCs w:val="24"/>
        </w:rPr>
        <w:t>The Panel questioned why more detailed information was not provided by both the regulatory authority or the</w:t>
      </w:r>
      <w:r w:rsidR="00C15B5F">
        <w:rPr>
          <w:sz w:val="24"/>
          <w:szCs w:val="24"/>
        </w:rPr>
        <w:t xml:space="preserve"> approved</w:t>
      </w:r>
      <w:r w:rsidRPr="00C4600C">
        <w:rPr>
          <w:sz w:val="24"/>
          <w:szCs w:val="24"/>
        </w:rPr>
        <w:t xml:space="preserve"> provider </w:t>
      </w:r>
      <w:r w:rsidR="00413679">
        <w:rPr>
          <w:sz w:val="24"/>
          <w:szCs w:val="24"/>
        </w:rPr>
        <w:t xml:space="preserve">about the date of the fence’s installation </w:t>
      </w:r>
      <w:r w:rsidRPr="00C4600C">
        <w:rPr>
          <w:sz w:val="24"/>
          <w:szCs w:val="24"/>
        </w:rPr>
        <w:t>at the point of the draft report and why the</w:t>
      </w:r>
      <w:r w:rsidR="00C15B5F">
        <w:rPr>
          <w:sz w:val="24"/>
          <w:szCs w:val="24"/>
        </w:rPr>
        <w:t xml:space="preserve"> approved</w:t>
      </w:r>
      <w:r w:rsidRPr="00C4600C">
        <w:rPr>
          <w:sz w:val="24"/>
          <w:szCs w:val="24"/>
        </w:rPr>
        <w:t xml:space="preserve"> provider did not supply a letter at first tier review.  </w:t>
      </w:r>
    </w:p>
    <w:p w:rsidR="00C4600C" w:rsidRDefault="00C4600C" w:rsidP="00C4600C">
      <w:pPr>
        <w:pStyle w:val="ListParagraph"/>
        <w:numPr>
          <w:ilvl w:val="0"/>
          <w:numId w:val="2"/>
        </w:numPr>
        <w:spacing w:line="240" w:lineRule="auto"/>
        <w:contextualSpacing w:val="0"/>
        <w:rPr>
          <w:sz w:val="24"/>
          <w:szCs w:val="24"/>
        </w:rPr>
      </w:pPr>
      <w:r w:rsidRPr="00C4600C">
        <w:rPr>
          <w:sz w:val="24"/>
          <w:szCs w:val="24"/>
        </w:rPr>
        <w:lastRenderedPageBreak/>
        <w:t xml:space="preserve">It noted the </w:t>
      </w:r>
      <w:r w:rsidR="00C15B5F">
        <w:rPr>
          <w:sz w:val="24"/>
          <w:szCs w:val="24"/>
        </w:rPr>
        <w:t xml:space="preserve">approved </w:t>
      </w:r>
      <w:r w:rsidRPr="00C4600C">
        <w:rPr>
          <w:sz w:val="24"/>
          <w:szCs w:val="24"/>
        </w:rPr>
        <w:t>provider’s assertion at second tier review that it had not done so because it believed the information</w:t>
      </w:r>
      <w:r w:rsidR="00C15B5F">
        <w:rPr>
          <w:sz w:val="24"/>
          <w:szCs w:val="24"/>
        </w:rPr>
        <w:t xml:space="preserve"> </w:t>
      </w:r>
      <w:r w:rsidRPr="00C4600C">
        <w:rPr>
          <w:sz w:val="24"/>
          <w:szCs w:val="24"/>
        </w:rPr>
        <w:t>it provided in its first tier review application was sufficient.</w:t>
      </w:r>
      <w:r w:rsidR="008D2967">
        <w:rPr>
          <w:sz w:val="24"/>
          <w:szCs w:val="24"/>
        </w:rPr>
        <w:t xml:space="preserve"> </w:t>
      </w:r>
      <w:r w:rsidR="00413679">
        <w:rPr>
          <w:sz w:val="24"/>
          <w:szCs w:val="24"/>
        </w:rPr>
        <w:t xml:space="preserve">The </w:t>
      </w:r>
      <w:r w:rsidR="008D2967">
        <w:rPr>
          <w:sz w:val="24"/>
          <w:szCs w:val="24"/>
        </w:rPr>
        <w:t>Panel agreed that this explanation was reasonable.</w:t>
      </w:r>
    </w:p>
    <w:p w:rsidR="00D52EA6" w:rsidRDefault="00D52EA6" w:rsidP="00753146">
      <w:pPr>
        <w:pStyle w:val="ListParagraph"/>
        <w:numPr>
          <w:ilvl w:val="0"/>
          <w:numId w:val="2"/>
        </w:numPr>
        <w:spacing w:after="360" w:line="240" w:lineRule="auto"/>
        <w:contextualSpacing w:val="0"/>
        <w:rPr>
          <w:sz w:val="24"/>
          <w:szCs w:val="24"/>
        </w:rPr>
      </w:pPr>
      <w:r>
        <w:rPr>
          <w:sz w:val="24"/>
          <w:szCs w:val="24"/>
        </w:rPr>
        <w:t xml:space="preserve">The Panel </w:t>
      </w:r>
      <w:r w:rsidR="00413679">
        <w:rPr>
          <w:sz w:val="24"/>
          <w:szCs w:val="24"/>
        </w:rPr>
        <w:t xml:space="preserve">also </w:t>
      </w:r>
      <w:r>
        <w:rPr>
          <w:sz w:val="24"/>
          <w:szCs w:val="24"/>
        </w:rPr>
        <w:t>noted that the regulatory authority was given an opportunity to respon</w:t>
      </w:r>
      <w:r w:rsidR="00413679">
        <w:rPr>
          <w:sz w:val="24"/>
          <w:szCs w:val="24"/>
        </w:rPr>
        <w:t>d</w:t>
      </w:r>
      <w:r>
        <w:rPr>
          <w:sz w:val="24"/>
          <w:szCs w:val="24"/>
        </w:rPr>
        <w:t xml:space="preserve"> to the approved provider’s submission at second tier review </w:t>
      </w:r>
      <w:r w:rsidR="00413679">
        <w:rPr>
          <w:sz w:val="24"/>
          <w:szCs w:val="24"/>
        </w:rPr>
        <w:t xml:space="preserve">that </w:t>
      </w:r>
      <w:r>
        <w:rPr>
          <w:sz w:val="24"/>
          <w:szCs w:val="24"/>
        </w:rPr>
        <w:t>the fence replacement occurr</w:t>
      </w:r>
      <w:r w:rsidR="00413679">
        <w:rPr>
          <w:sz w:val="24"/>
          <w:szCs w:val="24"/>
        </w:rPr>
        <w:t>ed</w:t>
      </w:r>
      <w:r>
        <w:rPr>
          <w:sz w:val="24"/>
          <w:szCs w:val="24"/>
        </w:rPr>
        <w:t xml:space="preserve"> on Saturday 1 July 2017</w:t>
      </w:r>
      <w:r w:rsidR="00413679">
        <w:rPr>
          <w:sz w:val="24"/>
          <w:szCs w:val="24"/>
        </w:rPr>
        <w:t>,</w:t>
      </w:r>
      <w:r>
        <w:rPr>
          <w:sz w:val="24"/>
          <w:szCs w:val="24"/>
        </w:rPr>
        <w:t xml:space="preserve"> and the accompanying letter from </w:t>
      </w:r>
      <w:r w:rsidR="004A2569">
        <w:rPr>
          <w:sz w:val="24"/>
          <w:szCs w:val="24"/>
        </w:rPr>
        <w:t>the contractor</w:t>
      </w:r>
      <w:r w:rsidR="00413679">
        <w:rPr>
          <w:sz w:val="24"/>
          <w:szCs w:val="24"/>
        </w:rPr>
        <w:t>.</w:t>
      </w:r>
    </w:p>
    <w:p w:rsidR="005B1521" w:rsidRDefault="005B1521" w:rsidP="003A73CA">
      <w:pPr>
        <w:spacing w:line="240" w:lineRule="auto"/>
        <w:rPr>
          <w:rFonts w:cs="Arial"/>
          <w:b/>
          <w:bCs/>
          <w:sz w:val="24"/>
          <w:szCs w:val="24"/>
          <w14:cntxtAlts/>
        </w:rPr>
      </w:pPr>
      <w:r w:rsidRPr="00C45D40">
        <w:rPr>
          <w:rFonts w:cs="Arial"/>
          <w:b/>
          <w:bCs/>
          <w:sz w:val="24"/>
          <w:szCs w:val="24"/>
          <w14:cntxtAlts/>
        </w:rPr>
        <w:t>Decision</w:t>
      </w:r>
    </w:p>
    <w:p w:rsidR="00895CD0" w:rsidRPr="00501F3C" w:rsidRDefault="00501F3C" w:rsidP="003A73CA">
      <w:pPr>
        <w:pStyle w:val="ListParagraph"/>
        <w:spacing w:before="0" w:after="0" w:line="240" w:lineRule="auto"/>
        <w:ind w:left="0"/>
        <w:rPr>
          <w:rFonts w:cs="Arial"/>
          <w:bCs/>
          <w:sz w:val="24"/>
          <w:szCs w:val="24"/>
          <w14:cntxtAlts/>
        </w:rPr>
      </w:pPr>
      <w:r w:rsidRPr="008B0492">
        <w:rPr>
          <w:rFonts w:cs="Arial"/>
          <w:sz w:val="24"/>
          <w:szCs w:val="24"/>
          <w14:cntxtAlts/>
        </w:rPr>
        <w:t xml:space="preserve">The Ratings </w:t>
      </w:r>
      <w:r w:rsidRPr="005B1521">
        <w:rPr>
          <w:rFonts w:cs="Arial"/>
          <w:sz w:val="24"/>
          <w:szCs w:val="24"/>
          <w14:cntxtAlts/>
        </w:rPr>
        <w:t xml:space="preserve">Review Panel (the Panel) by consensus decided to amend the rating level for element </w:t>
      </w:r>
      <w:r w:rsidR="005B1521" w:rsidRPr="005B1521">
        <w:rPr>
          <w:rFonts w:cs="Arial"/>
          <w:sz w:val="24"/>
          <w:szCs w:val="24"/>
          <w14:cntxtAlts/>
        </w:rPr>
        <w:t>7.3.3</w:t>
      </w:r>
      <w:r w:rsidR="005C2D5C" w:rsidRPr="005B1521">
        <w:rPr>
          <w:rFonts w:cs="Arial"/>
          <w:sz w:val="24"/>
          <w:szCs w:val="24"/>
          <w14:cntxtAlts/>
        </w:rPr>
        <w:t xml:space="preserve"> from not met to </w:t>
      </w:r>
      <w:proofErr w:type="spellStart"/>
      <w:proofErr w:type="gramStart"/>
      <w:r w:rsidR="005C2D5C" w:rsidRPr="005B1521">
        <w:rPr>
          <w:rFonts w:cs="Arial"/>
          <w:sz w:val="24"/>
          <w:szCs w:val="24"/>
          <w14:cntxtAlts/>
        </w:rPr>
        <w:t>met</w:t>
      </w:r>
      <w:proofErr w:type="spellEnd"/>
      <w:proofErr w:type="gramEnd"/>
      <w:r w:rsidRPr="005B1521">
        <w:rPr>
          <w:rFonts w:cs="Arial"/>
          <w:sz w:val="24"/>
          <w:szCs w:val="24"/>
          <w14:cntxtAlts/>
        </w:rPr>
        <w:t>. As a result, the Panel amended</w:t>
      </w:r>
      <w:r w:rsidR="005B1521" w:rsidRPr="005B1521">
        <w:rPr>
          <w:rFonts w:cs="Arial"/>
          <w:sz w:val="24"/>
          <w:szCs w:val="24"/>
          <w14:cntxtAlts/>
        </w:rPr>
        <w:t xml:space="preserve"> the rating level for standard 7</w:t>
      </w:r>
      <w:r w:rsidRPr="005B1521">
        <w:rPr>
          <w:rFonts w:cs="Arial"/>
          <w:sz w:val="24"/>
          <w:szCs w:val="24"/>
          <w14:cntxtAlts/>
        </w:rPr>
        <w:t>.3 to Meeting NQS. The Panel amended the</w:t>
      </w:r>
      <w:r w:rsidR="005B1521" w:rsidRPr="005B1521">
        <w:rPr>
          <w:rFonts w:cs="Arial"/>
          <w:sz w:val="24"/>
          <w:szCs w:val="24"/>
          <w14:cntxtAlts/>
        </w:rPr>
        <w:t xml:space="preserve"> rating level for Quality Area 7</w:t>
      </w:r>
      <w:r w:rsidRPr="005B1521">
        <w:rPr>
          <w:rFonts w:cs="Arial"/>
          <w:sz w:val="24"/>
          <w:szCs w:val="24"/>
          <w14:cntxtAlts/>
        </w:rPr>
        <w:t xml:space="preserve"> to Meeting</w:t>
      </w:r>
      <w:r w:rsidRPr="005B1521">
        <w:rPr>
          <w:rStyle w:val="Strong"/>
          <w:rFonts w:cs="Arial"/>
          <w:b w:val="0"/>
          <w:sz w:val="24"/>
          <w:szCs w:val="24"/>
          <w14:cntxtAlts/>
        </w:rPr>
        <w:t xml:space="preserve"> NQS, and the service’s overall rating is amended to Meeting NQS</w:t>
      </w:r>
      <w:r w:rsidRPr="005B1521">
        <w:rPr>
          <w:rFonts w:cs="Arial"/>
          <w:sz w:val="24"/>
          <w:szCs w:val="24"/>
          <w14:cntxtAlts/>
        </w:rPr>
        <w:t>.</w:t>
      </w:r>
      <w:r w:rsidR="00E32689" w:rsidRPr="005B1521">
        <w:rPr>
          <w:rFonts w:cs="Arial"/>
          <w:sz w:val="24"/>
          <w:szCs w:val="24"/>
          <w14:cntxtAlts/>
        </w:rPr>
        <w:t xml:space="preserve"> </w:t>
      </w:r>
    </w:p>
    <w:sectPr w:rsidR="00895CD0" w:rsidRPr="00501F3C" w:rsidSect="00CA1203">
      <w:headerReference w:type="default" r:id="rId8"/>
      <w:footerReference w:type="default" r:id="rId9"/>
      <w:headerReference w:type="first" r:id="rId10"/>
      <w:footerReference w:type="first" r:id="rId11"/>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12" w:rsidRDefault="00135812" w:rsidP="006B3974">
      <w:pPr>
        <w:spacing w:after="0" w:line="240" w:lineRule="auto"/>
      </w:pPr>
      <w:r>
        <w:separator/>
      </w:r>
    </w:p>
  </w:endnote>
  <w:endnote w:type="continuationSeparator" w:id="0">
    <w:p w:rsidR="00135812" w:rsidRDefault="00135812"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2" w:rsidRDefault="00135812">
    <w:pPr>
      <w:pStyle w:val="Footer"/>
      <w:jc w:val="right"/>
    </w:pPr>
    <w:r>
      <w:fldChar w:fldCharType="begin"/>
    </w:r>
    <w:r>
      <w:instrText xml:space="preserve"> PAGE   \* MERGEFORMAT </w:instrText>
    </w:r>
    <w:r>
      <w:fldChar w:fldCharType="separate"/>
    </w:r>
    <w:r w:rsidR="0012507B">
      <w:rPr>
        <w:noProof/>
      </w:rPr>
      <w:t>7</w:t>
    </w:r>
    <w:r>
      <w:rPr>
        <w:noProof/>
      </w:rPr>
      <w:fldChar w:fldCharType="end"/>
    </w:r>
  </w:p>
  <w:p w:rsidR="00135812" w:rsidRPr="00515609" w:rsidRDefault="00135812" w:rsidP="00515609">
    <w:pPr>
      <w:pStyle w:val="Footer"/>
      <w:jc w:val="center"/>
      <w:rPr>
        <w:i/>
        <w:color w:val="7F7F7F"/>
      </w:rPr>
    </w:pPr>
    <w:r w:rsidRPr="00515609">
      <w:rPr>
        <w:i/>
        <w:color w:val="7F7F7F"/>
      </w:rPr>
      <w:t>The best possible start in 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2" w:rsidRDefault="00135812">
    <w:pPr>
      <w:pStyle w:val="Footer"/>
    </w:pPr>
    <w:r>
      <w:rPr>
        <w:noProof/>
      </w:rPr>
      <w:drawing>
        <wp:anchor distT="0" distB="0" distL="114300" distR="114300" simplePos="0" relativeHeight="251656192" behindDoc="0" locked="0" layoutInCell="1" allowOverlap="1" wp14:anchorId="79BDEA33" wp14:editId="05CE920E">
          <wp:simplePos x="0" y="0"/>
          <wp:positionH relativeFrom="margin">
            <wp:posOffset>-925830</wp:posOffset>
          </wp:positionH>
          <wp:positionV relativeFrom="margin">
            <wp:posOffset>8109585</wp:posOffset>
          </wp:positionV>
          <wp:extent cx="7642225" cy="2787650"/>
          <wp:effectExtent l="0" t="0" r="0" b="0"/>
          <wp:wrapSquare wrapText="bothSides"/>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12" w:rsidRDefault="00135812" w:rsidP="006B3974">
      <w:pPr>
        <w:spacing w:after="0" w:line="240" w:lineRule="auto"/>
      </w:pPr>
      <w:r>
        <w:separator/>
      </w:r>
    </w:p>
  </w:footnote>
  <w:footnote w:type="continuationSeparator" w:id="0">
    <w:p w:rsidR="00135812" w:rsidRDefault="00135812" w:rsidP="006B3974">
      <w:pPr>
        <w:spacing w:after="0" w:line="240" w:lineRule="auto"/>
      </w:pPr>
      <w:r>
        <w:continuationSeparator/>
      </w:r>
    </w:p>
  </w:footnote>
  <w:footnote w:id="1">
    <w:p w:rsidR="00135812" w:rsidRPr="00D259B7" w:rsidRDefault="00135812">
      <w:pPr>
        <w:pStyle w:val="FootnoteText"/>
        <w:rPr>
          <w:lang w:val="en-US"/>
        </w:rPr>
      </w:pPr>
      <w:r w:rsidRPr="00380838">
        <w:rPr>
          <w:rStyle w:val="FootnoteReference"/>
        </w:rPr>
        <w:footnoteRef/>
      </w:r>
      <w:r w:rsidRPr="00380838">
        <w:t xml:space="preserve"> ACECQA. (2017). Guide to the National Quality Framework, </w:t>
      </w:r>
      <w:hyperlink r:id="rId1" w:history="1">
        <w:r w:rsidRPr="00380838">
          <w:rPr>
            <w:rStyle w:val="Hyperlink"/>
          </w:rPr>
          <w:t>http://files.acecqa.gov.au/files/NQF/Guide-to-the-NQF.pdf</w:t>
        </w:r>
      </w:hyperlink>
      <w:r w:rsidRPr="00380838">
        <w:rPr>
          <w:rStyle w:val="Hyperlink"/>
          <w:u w:val="none"/>
        </w:rPr>
        <w:t xml:space="preserve"> </w:t>
      </w:r>
    </w:p>
  </w:footnote>
  <w:footnote w:id="2">
    <w:p w:rsidR="00135812" w:rsidRPr="000E0737" w:rsidRDefault="00135812">
      <w:pPr>
        <w:pStyle w:val="FootnoteText"/>
        <w:rPr>
          <w:lang w:val="en-US"/>
        </w:rPr>
      </w:pPr>
      <w:r>
        <w:rPr>
          <w:rStyle w:val="FootnoteReference"/>
        </w:rPr>
        <w:footnoteRef/>
      </w:r>
      <w:r>
        <w:t xml:space="preserve"> </w:t>
      </w:r>
      <w:r w:rsidRPr="00380838">
        <w:t>The Guide to the National Quality Framework was published in September 2017 to reflect changes to the National Law and Regulations</w:t>
      </w:r>
      <w:r>
        <w:t xml:space="preserve"> commencing 1 October 2017. The same</w:t>
      </w:r>
      <w:r w:rsidRPr="00380838">
        <w:t xml:space="preserve"> guidance</w:t>
      </w:r>
      <w:r>
        <w:t xml:space="preserve"> about section 173(2</w:t>
      </w:r>
      <w:proofErr w:type="gramStart"/>
      <w:r>
        <w:t>)(</w:t>
      </w:r>
      <w:proofErr w:type="gramEnd"/>
      <w:r>
        <w:t xml:space="preserve">c) </w:t>
      </w:r>
      <w:r w:rsidRPr="00380838">
        <w:t>may also be found</w:t>
      </w:r>
      <w:r>
        <w:t xml:space="preserve"> in the </w:t>
      </w:r>
      <w:r w:rsidRPr="00380838">
        <w:t xml:space="preserve">Guide to the National Law and Regulations </w:t>
      </w:r>
      <w:r>
        <w:t xml:space="preserve">(p. 116) (last updated February 2017): </w:t>
      </w:r>
      <w:hyperlink r:id="rId2" w:history="1">
        <w:r w:rsidRPr="00EE6462">
          <w:rPr>
            <w:rStyle w:val="Hyperlink"/>
          </w:rPr>
          <w:t>http://files.acecqa.gov.au/files/National-Quality-Framework-Resources-Kit/NQF-Resource-02-Guide-to-ECS-Law-Regs.pdf</w:t>
        </w:r>
      </w:hyperlink>
      <w:r>
        <w:t>).</w:t>
      </w:r>
    </w:p>
  </w:footnote>
  <w:footnote w:id="3">
    <w:p w:rsidR="00135812" w:rsidRPr="00546FD6" w:rsidRDefault="00135812" w:rsidP="003522EA">
      <w:pPr>
        <w:pStyle w:val="FootnoteText"/>
        <w:rPr>
          <w:lang w:val="en-US"/>
        </w:rPr>
      </w:pPr>
      <w:r>
        <w:rPr>
          <w:rStyle w:val="FootnoteReference"/>
        </w:rPr>
        <w:footnoteRef/>
      </w:r>
      <w:r>
        <w:t xml:space="preserve"> </w:t>
      </w:r>
      <w:r>
        <w:rPr>
          <w:lang w:val="en-US"/>
        </w:rPr>
        <w:t xml:space="preserve">ACECQA (2017). Guide to the National Quality Standard, </w:t>
      </w:r>
      <w:hyperlink r:id="rId3" w:history="1">
        <w:r w:rsidRPr="00805120">
          <w:rPr>
            <w:rStyle w:val="Hyperlink"/>
            <w:lang w:val="en-US"/>
          </w:rPr>
          <w:t>http://files.acecqa.gov.au/files/National-Quality-Framework-Resources-Kit/NQF-Resource-03-Guide-to-NQS.pdf</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2" w:rsidRDefault="00135812">
    <w:pPr>
      <w:pStyle w:val="Header"/>
    </w:pPr>
    <w:r>
      <w:rPr>
        <w:noProof/>
      </w:rPr>
      <w:drawing>
        <wp:anchor distT="0" distB="0" distL="114300" distR="114300" simplePos="0" relativeHeight="251658240" behindDoc="0" locked="0" layoutInCell="1" allowOverlap="1" wp14:anchorId="5CBEFC1A" wp14:editId="25DA4A9D">
          <wp:simplePos x="0" y="0"/>
          <wp:positionH relativeFrom="margin">
            <wp:posOffset>-729615</wp:posOffset>
          </wp:positionH>
          <wp:positionV relativeFrom="margin">
            <wp:posOffset>-1205230</wp:posOffset>
          </wp:positionV>
          <wp:extent cx="2533650" cy="1031240"/>
          <wp:effectExtent l="0" t="0" r="0" b="0"/>
          <wp:wrapSquare wrapText="bothSides"/>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12" w:rsidRDefault="00135812">
    <w:pPr>
      <w:pStyle w:val="Header"/>
    </w:pPr>
    <w:r>
      <w:rPr>
        <w:noProof/>
      </w:rPr>
      <w:drawing>
        <wp:anchor distT="0" distB="0" distL="114300" distR="114300" simplePos="0" relativeHeight="251657216" behindDoc="0" locked="0" layoutInCell="1" allowOverlap="1" wp14:anchorId="426D225B" wp14:editId="6FCBD52C">
          <wp:simplePos x="0" y="0"/>
          <wp:positionH relativeFrom="margin">
            <wp:posOffset>-750570</wp:posOffset>
          </wp:positionH>
          <wp:positionV relativeFrom="margin">
            <wp:posOffset>-1201420</wp:posOffset>
          </wp:positionV>
          <wp:extent cx="2533650" cy="103124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B1C"/>
    <w:multiLevelType w:val="hybridMultilevel"/>
    <w:tmpl w:val="8E408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CC2E29"/>
    <w:multiLevelType w:val="multilevel"/>
    <w:tmpl w:val="902C50B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D47BA6"/>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1C4D63"/>
    <w:multiLevelType w:val="hybridMultilevel"/>
    <w:tmpl w:val="5970B47C"/>
    <w:lvl w:ilvl="0" w:tplc="4E384264">
      <w:start w:val="8"/>
      <w:numFmt w:val="decimal"/>
      <w:lvlText w:val="%1."/>
      <w:lvlJc w:val="left"/>
      <w:pPr>
        <w:ind w:left="720" w:hanging="360"/>
      </w:pPr>
      <w:rPr>
        <w:rFonts w:ascii="Arial"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790510E"/>
    <w:multiLevelType w:val="hybridMultilevel"/>
    <w:tmpl w:val="7B34D84A"/>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 w15:restartNumberingAfterBreak="0">
    <w:nsid w:val="142B6201"/>
    <w:multiLevelType w:val="hybridMultilevel"/>
    <w:tmpl w:val="31086F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7C1523"/>
    <w:multiLevelType w:val="hybridMultilevel"/>
    <w:tmpl w:val="4ED6C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41FD5"/>
    <w:multiLevelType w:val="hybridMultilevel"/>
    <w:tmpl w:val="BB7CF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312F9"/>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120187"/>
    <w:multiLevelType w:val="multilevel"/>
    <w:tmpl w:val="902C50B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C84394"/>
    <w:multiLevelType w:val="hybridMultilevel"/>
    <w:tmpl w:val="9E76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C860C5"/>
    <w:multiLevelType w:val="multilevel"/>
    <w:tmpl w:val="5B123412"/>
    <w:lvl w:ilvl="0">
      <w:start w:val="1"/>
      <w:numFmt w:val="bullet"/>
      <w:lvlText w:val=""/>
      <w:lvlJc w:val="left"/>
      <w:pPr>
        <w:ind w:left="1247" w:hanging="567"/>
      </w:pPr>
      <w:rPr>
        <w:rFonts w:ascii="Symbol" w:hAnsi="Symbol" w:hint="default"/>
        <w:b w:val="0"/>
        <w:i w:val="0"/>
        <w:color w:val="auto"/>
        <w:sz w:val="24"/>
        <w:szCs w:val="24"/>
      </w:rPr>
    </w:lvl>
    <w:lvl w:ilvl="1">
      <w:start w:val="1"/>
      <w:numFmt w:val="bullet"/>
      <w:lvlText w:val=""/>
      <w:lvlJc w:val="left"/>
      <w:pPr>
        <w:ind w:left="2007" w:hanging="360"/>
      </w:pPr>
      <w:rPr>
        <w:rFonts w:ascii="Symbol" w:hAnsi="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E151BFF"/>
    <w:multiLevelType w:val="hybridMultilevel"/>
    <w:tmpl w:val="609255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45F503F"/>
    <w:multiLevelType w:val="hybridMultilevel"/>
    <w:tmpl w:val="80BC3EBC"/>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5" w15:restartNumberingAfterBreak="0">
    <w:nsid w:val="38FA1B2B"/>
    <w:multiLevelType w:val="hybridMultilevel"/>
    <w:tmpl w:val="13003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431C34"/>
    <w:multiLevelType w:val="hybridMultilevel"/>
    <w:tmpl w:val="5ED8078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7" w15:restartNumberingAfterBreak="0">
    <w:nsid w:val="441770CC"/>
    <w:multiLevelType w:val="multilevel"/>
    <w:tmpl w:val="902C50B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1A0E11"/>
    <w:multiLevelType w:val="multilevel"/>
    <w:tmpl w:val="92C6269E"/>
    <w:lvl w:ilvl="0">
      <w:start w:val="1"/>
      <w:numFmt w:val="decimal"/>
      <w:lvlText w:val="%1."/>
      <w:lvlJc w:val="left"/>
      <w:pPr>
        <w:ind w:left="680" w:hanging="567"/>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AE34BF"/>
    <w:multiLevelType w:val="hybridMultilevel"/>
    <w:tmpl w:val="957ADF2C"/>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0" w15:restartNumberingAfterBreak="0">
    <w:nsid w:val="49E22F44"/>
    <w:multiLevelType w:val="multilevel"/>
    <w:tmpl w:val="1278EC98"/>
    <w:lvl w:ilvl="0">
      <w:start w:val="1"/>
      <w:numFmt w:val="decimal"/>
      <w:lvlText w:val="%1."/>
      <w:lvlJc w:val="left"/>
      <w:pPr>
        <w:ind w:left="680" w:hanging="567"/>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3A6F4A"/>
    <w:multiLevelType w:val="multilevel"/>
    <w:tmpl w:val="BFF81A0E"/>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5437B"/>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820BC3"/>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48F4B5E"/>
    <w:multiLevelType w:val="multilevel"/>
    <w:tmpl w:val="902C50B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5A7AAF"/>
    <w:multiLevelType w:val="multilevel"/>
    <w:tmpl w:val="EF181FC2"/>
    <w:lvl w:ilvl="0">
      <w:start w:val="1"/>
      <w:numFmt w:val="lowerLetter"/>
      <w:lvlText w:val="%1."/>
      <w:lvlJc w:val="left"/>
      <w:pPr>
        <w:tabs>
          <w:tab w:val="num" w:pos="2268"/>
        </w:tabs>
        <w:ind w:left="2268"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8A6E35"/>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D76597"/>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FC26AC"/>
    <w:multiLevelType w:val="multilevel"/>
    <w:tmpl w:val="AE9C095A"/>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5FC384B"/>
    <w:multiLevelType w:val="hybridMultilevel"/>
    <w:tmpl w:val="B84E36C6"/>
    <w:lvl w:ilvl="0" w:tplc="F0F22E50">
      <w:start w:val="1"/>
      <w:numFmt w:val="bullet"/>
      <w:pStyle w:val="ListBullet"/>
      <w:lvlText w:val=""/>
      <w:lvlJc w:val="left"/>
      <w:pPr>
        <w:ind w:left="360" w:hanging="360"/>
      </w:pPr>
      <w:rPr>
        <w:rFonts w:ascii="Symbol" w:hAnsi="Symbol" w:hint="default"/>
        <w:sz w:val="18"/>
      </w:rPr>
    </w:lvl>
    <w:lvl w:ilvl="1" w:tplc="2E3E8784" w:tentative="1">
      <w:start w:val="1"/>
      <w:numFmt w:val="bullet"/>
      <w:lvlText w:val="o"/>
      <w:lvlJc w:val="left"/>
      <w:pPr>
        <w:tabs>
          <w:tab w:val="num" w:pos="1440"/>
        </w:tabs>
        <w:ind w:left="1440" w:hanging="360"/>
      </w:pPr>
      <w:rPr>
        <w:rFonts w:ascii="Courier New" w:hAnsi="Courier New" w:hint="default"/>
      </w:rPr>
    </w:lvl>
    <w:lvl w:ilvl="2" w:tplc="59080970" w:tentative="1">
      <w:start w:val="1"/>
      <w:numFmt w:val="bullet"/>
      <w:lvlText w:val=""/>
      <w:lvlJc w:val="left"/>
      <w:pPr>
        <w:tabs>
          <w:tab w:val="num" w:pos="2160"/>
        </w:tabs>
        <w:ind w:left="2160" w:hanging="360"/>
      </w:pPr>
      <w:rPr>
        <w:rFonts w:ascii="Wingdings" w:hAnsi="Wingdings" w:hint="default"/>
      </w:rPr>
    </w:lvl>
    <w:lvl w:ilvl="3" w:tplc="4F723758" w:tentative="1">
      <w:start w:val="1"/>
      <w:numFmt w:val="bullet"/>
      <w:lvlText w:val=""/>
      <w:lvlJc w:val="left"/>
      <w:pPr>
        <w:tabs>
          <w:tab w:val="num" w:pos="2880"/>
        </w:tabs>
        <w:ind w:left="2880" w:hanging="360"/>
      </w:pPr>
      <w:rPr>
        <w:rFonts w:ascii="Symbol" w:hAnsi="Symbol" w:hint="default"/>
      </w:rPr>
    </w:lvl>
    <w:lvl w:ilvl="4" w:tplc="B93E1E4C" w:tentative="1">
      <w:start w:val="1"/>
      <w:numFmt w:val="bullet"/>
      <w:lvlText w:val="o"/>
      <w:lvlJc w:val="left"/>
      <w:pPr>
        <w:tabs>
          <w:tab w:val="num" w:pos="3600"/>
        </w:tabs>
        <w:ind w:left="3600" w:hanging="360"/>
      </w:pPr>
      <w:rPr>
        <w:rFonts w:ascii="Courier New" w:hAnsi="Courier New" w:hint="default"/>
      </w:rPr>
    </w:lvl>
    <w:lvl w:ilvl="5" w:tplc="A050BC32" w:tentative="1">
      <w:start w:val="1"/>
      <w:numFmt w:val="bullet"/>
      <w:lvlText w:val=""/>
      <w:lvlJc w:val="left"/>
      <w:pPr>
        <w:tabs>
          <w:tab w:val="num" w:pos="4320"/>
        </w:tabs>
        <w:ind w:left="4320" w:hanging="360"/>
      </w:pPr>
      <w:rPr>
        <w:rFonts w:ascii="Wingdings" w:hAnsi="Wingdings" w:hint="default"/>
      </w:rPr>
    </w:lvl>
    <w:lvl w:ilvl="6" w:tplc="5A26BB42" w:tentative="1">
      <w:start w:val="1"/>
      <w:numFmt w:val="bullet"/>
      <w:lvlText w:val=""/>
      <w:lvlJc w:val="left"/>
      <w:pPr>
        <w:tabs>
          <w:tab w:val="num" w:pos="5040"/>
        </w:tabs>
        <w:ind w:left="5040" w:hanging="360"/>
      </w:pPr>
      <w:rPr>
        <w:rFonts w:ascii="Symbol" w:hAnsi="Symbol" w:hint="default"/>
      </w:rPr>
    </w:lvl>
    <w:lvl w:ilvl="7" w:tplc="7EF26B28" w:tentative="1">
      <w:start w:val="1"/>
      <w:numFmt w:val="bullet"/>
      <w:lvlText w:val="o"/>
      <w:lvlJc w:val="left"/>
      <w:pPr>
        <w:tabs>
          <w:tab w:val="num" w:pos="5760"/>
        </w:tabs>
        <w:ind w:left="5760" w:hanging="360"/>
      </w:pPr>
      <w:rPr>
        <w:rFonts w:ascii="Courier New" w:hAnsi="Courier New" w:hint="default"/>
      </w:rPr>
    </w:lvl>
    <w:lvl w:ilvl="8" w:tplc="3DE83D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F2AF6"/>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A50122"/>
    <w:multiLevelType w:val="multilevel"/>
    <w:tmpl w:val="902C50B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6D5607"/>
    <w:multiLevelType w:val="hybridMultilevel"/>
    <w:tmpl w:val="C05E6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3E4BC9"/>
    <w:multiLevelType w:val="multilevel"/>
    <w:tmpl w:val="2CFAC1A8"/>
    <w:lvl w:ilvl="0">
      <w:start w:val="1"/>
      <w:numFmt w:val="decimal"/>
      <w:lvlText w:val="%1."/>
      <w:lvlJc w:val="left"/>
      <w:pPr>
        <w:ind w:left="680" w:hanging="567"/>
      </w:pPr>
      <w:rPr>
        <w:rFonts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F821998"/>
    <w:multiLevelType w:val="multilevel"/>
    <w:tmpl w:val="902C50B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AE1E23"/>
    <w:multiLevelType w:val="hybridMultilevel"/>
    <w:tmpl w:val="CF78DF6A"/>
    <w:lvl w:ilvl="0" w:tplc="0C09000F">
      <w:start w:val="1"/>
      <w:numFmt w:val="decimal"/>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10038D"/>
    <w:multiLevelType w:val="hybridMultilevel"/>
    <w:tmpl w:val="D5CC735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num w:numId="1">
    <w:abstractNumId w:val="4"/>
  </w:num>
  <w:num w:numId="2">
    <w:abstractNumId w:val="17"/>
  </w:num>
  <w:num w:numId="3">
    <w:abstractNumId w:val="20"/>
  </w:num>
  <w:num w:numId="4">
    <w:abstractNumId w:val="13"/>
  </w:num>
  <w:num w:numId="5">
    <w:abstractNumId w:val="2"/>
  </w:num>
  <w:num w:numId="6">
    <w:abstractNumId w:val="18"/>
  </w:num>
  <w:num w:numId="7">
    <w:abstractNumId w:val="21"/>
  </w:num>
  <w:num w:numId="8">
    <w:abstractNumId w:val="5"/>
  </w:num>
  <w:num w:numId="9">
    <w:abstractNumId w:val="8"/>
  </w:num>
  <w:num w:numId="10">
    <w:abstractNumId w:val="9"/>
  </w:num>
  <w:num w:numId="11">
    <w:abstractNumId w:val="14"/>
  </w:num>
  <w:num w:numId="12">
    <w:abstractNumId w:val="7"/>
  </w:num>
  <w:num w:numId="13">
    <w:abstractNumId w:val="0"/>
  </w:num>
  <w:num w:numId="14">
    <w:abstractNumId w:val="27"/>
  </w:num>
  <w:num w:numId="15">
    <w:abstractNumId w:val="22"/>
  </w:num>
  <w:num w:numId="16">
    <w:abstractNumId w:val="26"/>
  </w:num>
  <w:num w:numId="17">
    <w:abstractNumId w:val="29"/>
  </w:num>
  <w:num w:numId="18">
    <w:abstractNumId w:val="28"/>
  </w:num>
  <w:num w:numId="19">
    <w:abstractNumId w:val="25"/>
  </w:num>
  <w:num w:numId="20">
    <w:abstractNumId w:val="35"/>
  </w:num>
  <w:num w:numId="21">
    <w:abstractNumId w:val="23"/>
  </w:num>
  <w:num w:numId="22">
    <w:abstractNumId w:val="19"/>
  </w:num>
  <w:num w:numId="23">
    <w:abstractNumId w:val="33"/>
  </w:num>
  <w:num w:numId="24">
    <w:abstractNumId w:val="36"/>
  </w:num>
  <w:num w:numId="25">
    <w:abstractNumId w:val="3"/>
  </w:num>
  <w:num w:numId="26">
    <w:abstractNumId w:val="6"/>
  </w:num>
  <w:num w:numId="27">
    <w:abstractNumId w:val="15"/>
  </w:num>
  <w:num w:numId="28">
    <w:abstractNumId w:val="11"/>
  </w:num>
  <w:num w:numId="29">
    <w:abstractNumId w:val="32"/>
  </w:num>
  <w:num w:numId="30">
    <w:abstractNumId w:val="30"/>
  </w:num>
  <w:num w:numId="31">
    <w:abstractNumId w:val="12"/>
  </w:num>
  <w:num w:numId="32">
    <w:abstractNumId w:val="16"/>
  </w:num>
  <w:num w:numId="33">
    <w:abstractNumId w:val="34"/>
  </w:num>
  <w:num w:numId="34">
    <w:abstractNumId w:val="1"/>
  </w:num>
  <w:num w:numId="35">
    <w:abstractNumId w:val="10"/>
  </w:num>
  <w:num w:numId="36">
    <w:abstractNumId w:val="24"/>
  </w:num>
  <w:num w:numId="3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491B"/>
    <w:rsid w:val="000150F6"/>
    <w:rsid w:val="00020D7F"/>
    <w:rsid w:val="00021894"/>
    <w:rsid w:val="00025822"/>
    <w:rsid w:val="00027A91"/>
    <w:rsid w:val="00034389"/>
    <w:rsid w:val="00036EF1"/>
    <w:rsid w:val="00040FAF"/>
    <w:rsid w:val="00057CDE"/>
    <w:rsid w:val="000633EA"/>
    <w:rsid w:val="00070B0C"/>
    <w:rsid w:val="00073508"/>
    <w:rsid w:val="00074922"/>
    <w:rsid w:val="000755D1"/>
    <w:rsid w:val="000809FD"/>
    <w:rsid w:val="000912AC"/>
    <w:rsid w:val="0009186E"/>
    <w:rsid w:val="000A1129"/>
    <w:rsid w:val="000A3B97"/>
    <w:rsid w:val="000A5390"/>
    <w:rsid w:val="000A539B"/>
    <w:rsid w:val="000A55D2"/>
    <w:rsid w:val="000B2615"/>
    <w:rsid w:val="000B2B52"/>
    <w:rsid w:val="000B6EE0"/>
    <w:rsid w:val="000B7BE7"/>
    <w:rsid w:val="000C170C"/>
    <w:rsid w:val="000C1FD4"/>
    <w:rsid w:val="000C3A30"/>
    <w:rsid w:val="000C3D7C"/>
    <w:rsid w:val="000C4DC8"/>
    <w:rsid w:val="000C608C"/>
    <w:rsid w:val="000D66D1"/>
    <w:rsid w:val="000E0737"/>
    <w:rsid w:val="000E187D"/>
    <w:rsid w:val="000E4796"/>
    <w:rsid w:val="000E6501"/>
    <w:rsid w:val="000F355B"/>
    <w:rsid w:val="000F3E5C"/>
    <w:rsid w:val="000F4A7D"/>
    <w:rsid w:val="000F5839"/>
    <w:rsid w:val="000F67D8"/>
    <w:rsid w:val="000F7BEC"/>
    <w:rsid w:val="000F7FCC"/>
    <w:rsid w:val="001026BD"/>
    <w:rsid w:val="00103DDE"/>
    <w:rsid w:val="00104EA2"/>
    <w:rsid w:val="00110D92"/>
    <w:rsid w:val="001127F6"/>
    <w:rsid w:val="00112CF3"/>
    <w:rsid w:val="001213B9"/>
    <w:rsid w:val="0012507B"/>
    <w:rsid w:val="00135812"/>
    <w:rsid w:val="00136FC5"/>
    <w:rsid w:val="00143864"/>
    <w:rsid w:val="00147535"/>
    <w:rsid w:val="00147712"/>
    <w:rsid w:val="001541C3"/>
    <w:rsid w:val="001548AC"/>
    <w:rsid w:val="00155658"/>
    <w:rsid w:val="00156333"/>
    <w:rsid w:val="0016136B"/>
    <w:rsid w:val="00163FA3"/>
    <w:rsid w:val="00164207"/>
    <w:rsid w:val="00166CDA"/>
    <w:rsid w:val="00167166"/>
    <w:rsid w:val="00173AF4"/>
    <w:rsid w:val="00174E2A"/>
    <w:rsid w:val="00176F25"/>
    <w:rsid w:val="00177204"/>
    <w:rsid w:val="00181421"/>
    <w:rsid w:val="00182E8E"/>
    <w:rsid w:val="00190157"/>
    <w:rsid w:val="00191BC9"/>
    <w:rsid w:val="00192EEE"/>
    <w:rsid w:val="00196602"/>
    <w:rsid w:val="001A09D2"/>
    <w:rsid w:val="001A15F5"/>
    <w:rsid w:val="001B6DA9"/>
    <w:rsid w:val="001C091A"/>
    <w:rsid w:val="001C0C57"/>
    <w:rsid w:val="001C20B3"/>
    <w:rsid w:val="001C3697"/>
    <w:rsid w:val="001D0CB1"/>
    <w:rsid w:val="001D1752"/>
    <w:rsid w:val="001D1971"/>
    <w:rsid w:val="001D3664"/>
    <w:rsid w:val="001E6616"/>
    <w:rsid w:val="001F1AE7"/>
    <w:rsid w:val="001F2EB4"/>
    <w:rsid w:val="00203E6E"/>
    <w:rsid w:val="0020499E"/>
    <w:rsid w:val="00207E2D"/>
    <w:rsid w:val="002143B6"/>
    <w:rsid w:val="002157FE"/>
    <w:rsid w:val="002211ED"/>
    <w:rsid w:val="00221A0F"/>
    <w:rsid w:val="0022373A"/>
    <w:rsid w:val="00223F57"/>
    <w:rsid w:val="00224B6F"/>
    <w:rsid w:val="00226432"/>
    <w:rsid w:val="00227D76"/>
    <w:rsid w:val="00235D1C"/>
    <w:rsid w:val="00237409"/>
    <w:rsid w:val="0025052F"/>
    <w:rsid w:val="002543FC"/>
    <w:rsid w:val="00254885"/>
    <w:rsid w:val="002604A4"/>
    <w:rsid w:val="002609A2"/>
    <w:rsid w:val="002615DC"/>
    <w:rsid w:val="00262243"/>
    <w:rsid w:val="00265A01"/>
    <w:rsid w:val="0027191C"/>
    <w:rsid w:val="00271B7B"/>
    <w:rsid w:val="00272595"/>
    <w:rsid w:val="00274F70"/>
    <w:rsid w:val="00280A98"/>
    <w:rsid w:val="00286D0F"/>
    <w:rsid w:val="00287E01"/>
    <w:rsid w:val="002930DB"/>
    <w:rsid w:val="002931DA"/>
    <w:rsid w:val="00293899"/>
    <w:rsid w:val="00296313"/>
    <w:rsid w:val="00297105"/>
    <w:rsid w:val="00297D94"/>
    <w:rsid w:val="002A0F72"/>
    <w:rsid w:val="002A4ADB"/>
    <w:rsid w:val="002A62F1"/>
    <w:rsid w:val="002A7F3A"/>
    <w:rsid w:val="002B0450"/>
    <w:rsid w:val="002C0900"/>
    <w:rsid w:val="002D1670"/>
    <w:rsid w:val="002D3D61"/>
    <w:rsid w:val="002D4266"/>
    <w:rsid w:val="002D4791"/>
    <w:rsid w:val="002E154A"/>
    <w:rsid w:val="002E17E3"/>
    <w:rsid w:val="002E383F"/>
    <w:rsid w:val="002F055B"/>
    <w:rsid w:val="0030433B"/>
    <w:rsid w:val="00304430"/>
    <w:rsid w:val="00306D0F"/>
    <w:rsid w:val="00310B07"/>
    <w:rsid w:val="00315E80"/>
    <w:rsid w:val="00316848"/>
    <w:rsid w:val="00317C6B"/>
    <w:rsid w:val="0032327E"/>
    <w:rsid w:val="00325B19"/>
    <w:rsid w:val="00325E55"/>
    <w:rsid w:val="00326174"/>
    <w:rsid w:val="00326FC5"/>
    <w:rsid w:val="00327C78"/>
    <w:rsid w:val="003302CC"/>
    <w:rsid w:val="0033171D"/>
    <w:rsid w:val="00332EDB"/>
    <w:rsid w:val="00335B85"/>
    <w:rsid w:val="00335D3D"/>
    <w:rsid w:val="00341038"/>
    <w:rsid w:val="003411DD"/>
    <w:rsid w:val="003430A1"/>
    <w:rsid w:val="00345F18"/>
    <w:rsid w:val="003522EA"/>
    <w:rsid w:val="0035292C"/>
    <w:rsid w:val="00352D41"/>
    <w:rsid w:val="0035759C"/>
    <w:rsid w:val="00357D5C"/>
    <w:rsid w:val="00361D2F"/>
    <w:rsid w:val="00363CED"/>
    <w:rsid w:val="003646EA"/>
    <w:rsid w:val="00365E22"/>
    <w:rsid w:val="00365EA1"/>
    <w:rsid w:val="00373EF0"/>
    <w:rsid w:val="003756FF"/>
    <w:rsid w:val="00380838"/>
    <w:rsid w:val="003836C7"/>
    <w:rsid w:val="00384947"/>
    <w:rsid w:val="00384A60"/>
    <w:rsid w:val="0038743D"/>
    <w:rsid w:val="0039009C"/>
    <w:rsid w:val="003911B4"/>
    <w:rsid w:val="003A0201"/>
    <w:rsid w:val="003A52DA"/>
    <w:rsid w:val="003A73CA"/>
    <w:rsid w:val="003B3E57"/>
    <w:rsid w:val="003B54CF"/>
    <w:rsid w:val="003B635B"/>
    <w:rsid w:val="003C2867"/>
    <w:rsid w:val="003C3138"/>
    <w:rsid w:val="003C40B7"/>
    <w:rsid w:val="003D0BDE"/>
    <w:rsid w:val="003D320F"/>
    <w:rsid w:val="003E29D9"/>
    <w:rsid w:val="003E608C"/>
    <w:rsid w:val="003F3393"/>
    <w:rsid w:val="003F58C7"/>
    <w:rsid w:val="004009B6"/>
    <w:rsid w:val="00401AAB"/>
    <w:rsid w:val="00402415"/>
    <w:rsid w:val="004024DB"/>
    <w:rsid w:val="00403C0A"/>
    <w:rsid w:val="004062B8"/>
    <w:rsid w:val="00413679"/>
    <w:rsid w:val="00417017"/>
    <w:rsid w:val="00417C54"/>
    <w:rsid w:val="004219F7"/>
    <w:rsid w:val="00421B9E"/>
    <w:rsid w:val="0042544F"/>
    <w:rsid w:val="0043134B"/>
    <w:rsid w:val="00432127"/>
    <w:rsid w:val="004330E6"/>
    <w:rsid w:val="00434052"/>
    <w:rsid w:val="00440300"/>
    <w:rsid w:val="00442B5A"/>
    <w:rsid w:val="0044379A"/>
    <w:rsid w:val="004468E9"/>
    <w:rsid w:val="00450725"/>
    <w:rsid w:val="00450E7D"/>
    <w:rsid w:val="00451FDB"/>
    <w:rsid w:val="004521BD"/>
    <w:rsid w:val="00452827"/>
    <w:rsid w:val="00453EF6"/>
    <w:rsid w:val="004565C3"/>
    <w:rsid w:val="0046286E"/>
    <w:rsid w:val="004666D1"/>
    <w:rsid w:val="00466F13"/>
    <w:rsid w:val="00467ECC"/>
    <w:rsid w:val="00470E6F"/>
    <w:rsid w:val="00475789"/>
    <w:rsid w:val="00477B3D"/>
    <w:rsid w:val="00480DDF"/>
    <w:rsid w:val="00486933"/>
    <w:rsid w:val="00487320"/>
    <w:rsid w:val="00490470"/>
    <w:rsid w:val="00490DA4"/>
    <w:rsid w:val="00494058"/>
    <w:rsid w:val="00496D2C"/>
    <w:rsid w:val="004A185E"/>
    <w:rsid w:val="004A2569"/>
    <w:rsid w:val="004A601F"/>
    <w:rsid w:val="004A7D2F"/>
    <w:rsid w:val="004B28B5"/>
    <w:rsid w:val="004B3610"/>
    <w:rsid w:val="004B4FBD"/>
    <w:rsid w:val="004B6F4D"/>
    <w:rsid w:val="004B7EC1"/>
    <w:rsid w:val="004C0DC9"/>
    <w:rsid w:val="004C14A9"/>
    <w:rsid w:val="004C23FB"/>
    <w:rsid w:val="004C45EF"/>
    <w:rsid w:val="004C6BB8"/>
    <w:rsid w:val="004D04DA"/>
    <w:rsid w:val="004D0AF2"/>
    <w:rsid w:val="004D329E"/>
    <w:rsid w:val="004D4193"/>
    <w:rsid w:val="004E07F3"/>
    <w:rsid w:val="004E284A"/>
    <w:rsid w:val="004E51DA"/>
    <w:rsid w:val="004F2CD2"/>
    <w:rsid w:val="004F364E"/>
    <w:rsid w:val="004F717B"/>
    <w:rsid w:val="004F7F82"/>
    <w:rsid w:val="00501F3C"/>
    <w:rsid w:val="00506B14"/>
    <w:rsid w:val="00506D3B"/>
    <w:rsid w:val="00511794"/>
    <w:rsid w:val="00515609"/>
    <w:rsid w:val="0052178E"/>
    <w:rsid w:val="00527343"/>
    <w:rsid w:val="005322C5"/>
    <w:rsid w:val="00537EB5"/>
    <w:rsid w:val="00537EC5"/>
    <w:rsid w:val="00543928"/>
    <w:rsid w:val="00544836"/>
    <w:rsid w:val="00546E2E"/>
    <w:rsid w:val="00556C8E"/>
    <w:rsid w:val="00557DDA"/>
    <w:rsid w:val="00574B34"/>
    <w:rsid w:val="005766A3"/>
    <w:rsid w:val="00582141"/>
    <w:rsid w:val="00590032"/>
    <w:rsid w:val="005905D6"/>
    <w:rsid w:val="005978C4"/>
    <w:rsid w:val="005A1689"/>
    <w:rsid w:val="005B1521"/>
    <w:rsid w:val="005B1BD9"/>
    <w:rsid w:val="005B2A59"/>
    <w:rsid w:val="005B3A5C"/>
    <w:rsid w:val="005B5EFA"/>
    <w:rsid w:val="005B7DCF"/>
    <w:rsid w:val="005C2A1D"/>
    <w:rsid w:val="005C2D5C"/>
    <w:rsid w:val="005C6996"/>
    <w:rsid w:val="005D0B93"/>
    <w:rsid w:val="005D14E7"/>
    <w:rsid w:val="005D29E3"/>
    <w:rsid w:val="005D6735"/>
    <w:rsid w:val="005E03B8"/>
    <w:rsid w:val="005E4700"/>
    <w:rsid w:val="005E692A"/>
    <w:rsid w:val="005F0208"/>
    <w:rsid w:val="005F39C4"/>
    <w:rsid w:val="005F4F57"/>
    <w:rsid w:val="005F6AE1"/>
    <w:rsid w:val="006009EE"/>
    <w:rsid w:val="00602334"/>
    <w:rsid w:val="00603DA9"/>
    <w:rsid w:val="006047C4"/>
    <w:rsid w:val="0060644A"/>
    <w:rsid w:val="006067AD"/>
    <w:rsid w:val="00606B8E"/>
    <w:rsid w:val="0061326A"/>
    <w:rsid w:val="0062014D"/>
    <w:rsid w:val="00621E0D"/>
    <w:rsid w:val="00622E2C"/>
    <w:rsid w:val="00625F4A"/>
    <w:rsid w:val="00626702"/>
    <w:rsid w:val="00627933"/>
    <w:rsid w:val="00630074"/>
    <w:rsid w:val="00633F04"/>
    <w:rsid w:val="00637499"/>
    <w:rsid w:val="00637875"/>
    <w:rsid w:val="00637BED"/>
    <w:rsid w:val="006435E1"/>
    <w:rsid w:val="00644DD8"/>
    <w:rsid w:val="00645B95"/>
    <w:rsid w:val="00646A9C"/>
    <w:rsid w:val="006523E4"/>
    <w:rsid w:val="00654387"/>
    <w:rsid w:val="00655C30"/>
    <w:rsid w:val="00660166"/>
    <w:rsid w:val="006641E4"/>
    <w:rsid w:val="006702EC"/>
    <w:rsid w:val="0067125E"/>
    <w:rsid w:val="00671C84"/>
    <w:rsid w:val="00672472"/>
    <w:rsid w:val="00675F44"/>
    <w:rsid w:val="00680B10"/>
    <w:rsid w:val="006914B4"/>
    <w:rsid w:val="006916B5"/>
    <w:rsid w:val="00691EF7"/>
    <w:rsid w:val="006925C0"/>
    <w:rsid w:val="006946F6"/>
    <w:rsid w:val="00695686"/>
    <w:rsid w:val="006957D5"/>
    <w:rsid w:val="006969CE"/>
    <w:rsid w:val="006A417E"/>
    <w:rsid w:val="006A4E45"/>
    <w:rsid w:val="006A5057"/>
    <w:rsid w:val="006A606F"/>
    <w:rsid w:val="006A704D"/>
    <w:rsid w:val="006B06A6"/>
    <w:rsid w:val="006B1206"/>
    <w:rsid w:val="006B1943"/>
    <w:rsid w:val="006B364A"/>
    <w:rsid w:val="006B3974"/>
    <w:rsid w:val="006B44BC"/>
    <w:rsid w:val="006B4D78"/>
    <w:rsid w:val="006B6D04"/>
    <w:rsid w:val="006C4BF9"/>
    <w:rsid w:val="006D170C"/>
    <w:rsid w:val="006E0C7D"/>
    <w:rsid w:val="006E23B9"/>
    <w:rsid w:val="006E5E17"/>
    <w:rsid w:val="006F1DEA"/>
    <w:rsid w:val="006F32AC"/>
    <w:rsid w:val="006F7116"/>
    <w:rsid w:val="006F7D1B"/>
    <w:rsid w:val="00701B40"/>
    <w:rsid w:val="00703BBD"/>
    <w:rsid w:val="0070622F"/>
    <w:rsid w:val="00713512"/>
    <w:rsid w:val="0071454D"/>
    <w:rsid w:val="0071626D"/>
    <w:rsid w:val="007166F8"/>
    <w:rsid w:val="00717DCF"/>
    <w:rsid w:val="00726176"/>
    <w:rsid w:val="00732FF9"/>
    <w:rsid w:val="007363FB"/>
    <w:rsid w:val="00736B06"/>
    <w:rsid w:val="00740F66"/>
    <w:rsid w:val="00743BFE"/>
    <w:rsid w:val="00743E45"/>
    <w:rsid w:val="00746192"/>
    <w:rsid w:val="0074689B"/>
    <w:rsid w:val="00753146"/>
    <w:rsid w:val="00757165"/>
    <w:rsid w:val="0076043A"/>
    <w:rsid w:val="00761239"/>
    <w:rsid w:val="00761698"/>
    <w:rsid w:val="00762980"/>
    <w:rsid w:val="00763358"/>
    <w:rsid w:val="007731F4"/>
    <w:rsid w:val="007742B3"/>
    <w:rsid w:val="0077450E"/>
    <w:rsid w:val="00774981"/>
    <w:rsid w:val="0077579B"/>
    <w:rsid w:val="0077591F"/>
    <w:rsid w:val="00780FC9"/>
    <w:rsid w:val="0078222E"/>
    <w:rsid w:val="00783D15"/>
    <w:rsid w:val="007854D1"/>
    <w:rsid w:val="00786BD6"/>
    <w:rsid w:val="007921DC"/>
    <w:rsid w:val="00792463"/>
    <w:rsid w:val="00793E34"/>
    <w:rsid w:val="00795CC3"/>
    <w:rsid w:val="007A2AB1"/>
    <w:rsid w:val="007A38F9"/>
    <w:rsid w:val="007A5479"/>
    <w:rsid w:val="007A6CAA"/>
    <w:rsid w:val="007A7E27"/>
    <w:rsid w:val="007B04BF"/>
    <w:rsid w:val="007B508E"/>
    <w:rsid w:val="007B548C"/>
    <w:rsid w:val="007B77CF"/>
    <w:rsid w:val="007C0B63"/>
    <w:rsid w:val="007C2520"/>
    <w:rsid w:val="007C5235"/>
    <w:rsid w:val="007C7800"/>
    <w:rsid w:val="007C79FD"/>
    <w:rsid w:val="007D0E80"/>
    <w:rsid w:val="007D166B"/>
    <w:rsid w:val="007D366F"/>
    <w:rsid w:val="007D40F4"/>
    <w:rsid w:val="007D53C8"/>
    <w:rsid w:val="007E189C"/>
    <w:rsid w:val="007E4B8C"/>
    <w:rsid w:val="007E4DB9"/>
    <w:rsid w:val="007E5E21"/>
    <w:rsid w:val="007E64AD"/>
    <w:rsid w:val="007F29CC"/>
    <w:rsid w:val="007F2DA9"/>
    <w:rsid w:val="0080243D"/>
    <w:rsid w:val="00805A5A"/>
    <w:rsid w:val="00807AFE"/>
    <w:rsid w:val="00813745"/>
    <w:rsid w:val="00813A2F"/>
    <w:rsid w:val="00814FDB"/>
    <w:rsid w:val="00816849"/>
    <w:rsid w:val="00817490"/>
    <w:rsid w:val="008264A0"/>
    <w:rsid w:val="008265FF"/>
    <w:rsid w:val="00830A04"/>
    <w:rsid w:val="00832361"/>
    <w:rsid w:val="008335AE"/>
    <w:rsid w:val="00834EDE"/>
    <w:rsid w:val="008368DB"/>
    <w:rsid w:val="008369B7"/>
    <w:rsid w:val="00837644"/>
    <w:rsid w:val="00845539"/>
    <w:rsid w:val="00852D7B"/>
    <w:rsid w:val="00852E88"/>
    <w:rsid w:val="0085640A"/>
    <w:rsid w:val="00861479"/>
    <w:rsid w:val="008614A3"/>
    <w:rsid w:val="008647B0"/>
    <w:rsid w:val="0087056C"/>
    <w:rsid w:val="00870589"/>
    <w:rsid w:val="00872D89"/>
    <w:rsid w:val="00874CA1"/>
    <w:rsid w:val="00876D27"/>
    <w:rsid w:val="00894D5F"/>
    <w:rsid w:val="00895CD0"/>
    <w:rsid w:val="00896971"/>
    <w:rsid w:val="00896C88"/>
    <w:rsid w:val="008978F0"/>
    <w:rsid w:val="00897F23"/>
    <w:rsid w:val="008A53BE"/>
    <w:rsid w:val="008B0492"/>
    <w:rsid w:val="008B120E"/>
    <w:rsid w:val="008C64F1"/>
    <w:rsid w:val="008C756E"/>
    <w:rsid w:val="008D2967"/>
    <w:rsid w:val="008D76D3"/>
    <w:rsid w:val="008E0DE5"/>
    <w:rsid w:val="008E348A"/>
    <w:rsid w:val="008E3706"/>
    <w:rsid w:val="008E73AE"/>
    <w:rsid w:val="008F2667"/>
    <w:rsid w:val="008F5E10"/>
    <w:rsid w:val="009049D6"/>
    <w:rsid w:val="00905C82"/>
    <w:rsid w:val="009063F9"/>
    <w:rsid w:val="00906563"/>
    <w:rsid w:val="00906A20"/>
    <w:rsid w:val="0090785C"/>
    <w:rsid w:val="009175A6"/>
    <w:rsid w:val="00917CA1"/>
    <w:rsid w:val="009209CC"/>
    <w:rsid w:val="00924F03"/>
    <w:rsid w:val="00925049"/>
    <w:rsid w:val="0092609C"/>
    <w:rsid w:val="00927C3C"/>
    <w:rsid w:val="00932C0A"/>
    <w:rsid w:val="00934595"/>
    <w:rsid w:val="009357E9"/>
    <w:rsid w:val="0094046F"/>
    <w:rsid w:val="0094085D"/>
    <w:rsid w:val="009428FC"/>
    <w:rsid w:val="00945412"/>
    <w:rsid w:val="00946BCB"/>
    <w:rsid w:val="00947F3F"/>
    <w:rsid w:val="00950306"/>
    <w:rsid w:val="00951D0B"/>
    <w:rsid w:val="0095292D"/>
    <w:rsid w:val="009533E7"/>
    <w:rsid w:val="009540DF"/>
    <w:rsid w:val="00960D6B"/>
    <w:rsid w:val="009705C7"/>
    <w:rsid w:val="009738CB"/>
    <w:rsid w:val="00974656"/>
    <w:rsid w:val="009758B2"/>
    <w:rsid w:val="00976E22"/>
    <w:rsid w:val="00977017"/>
    <w:rsid w:val="00977A68"/>
    <w:rsid w:val="00977B91"/>
    <w:rsid w:val="00980670"/>
    <w:rsid w:val="00981574"/>
    <w:rsid w:val="00981BFC"/>
    <w:rsid w:val="009837A5"/>
    <w:rsid w:val="00991858"/>
    <w:rsid w:val="00997AFF"/>
    <w:rsid w:val="009A3862"/>
    <w:rsid w:val="009A3957"/>
    <w:rsid w:val="009A617C"/>
    <w:rsid w:val="009B0272"/>
    <w:rsid w:val="009B1B15"/>
    <w:rsid w:val="009B22D7"/>
    <w:rsid w:val="009B5725"/>
    <w:rsid w:val="009C0ED8"/>
    <w:rsid w:val="009C1DF5"/>
    <w:rsid w:val="009C2F2F"/>
    <w:rsid w:val="009C4769"/>
    <w:rsid w:val="009C54FB"/>
    <w:rsid w:val="009D0CC1"/>
    <w:rsid w:val="009D29D5"/>
    <w:rsid w:val="009D2D3D"/>
    <w:rsid w:val="009D406B"/>
    <w:rsid w:val="009D743A"/>
    <w:rsid w:val="009E24CA"/>
    <w:rsid w:val="009E4CA3"/>
    <w:rsid w:val="009E5F87"/>
    <w:rsid w:val="009F21B9"/>
    <w:rsid w:val="009F3FF4"/>
    <w:rsid w:val="00A06E19"/>
    <w:rsid w:val="00A10D53"/>
    <w:rsid w:val="00A117DA"/>
    <w:rsid w:val="00A11BDC"/>
    <w:rsid w:val="00A15DF1"/>
    <w:rsid w:val="00A21F37"/>
    <w:rsid w:val="00A2210E"/>
    <w:rsid w:val="00A2535E"/>
    <w:rsid w:val="00A2643C"/>
    <w:rsid w:val="00A32FF0"/>
    <w:rsid w:val="00A33701"/>
    <w:rsid w:val="00A4484F"/>
    <w:rsid w:val="00A543FC"/>
    <w:rsid w:val="00A609E6"/>
    <w:rsid w:val="00A616FB"/>
    <w:rsid w:val="00A64150"/>
    <w:rsid w:val="00A65578"/>
    <w:rsid w:val="00A65FBE"/>
    <w:rsid w:val="00A76B2B"/>
    <w:rsid w:val="00A76B80"/>
    <w:rsid w:val="00A779CA"/>
    <w:rsid w:val="00A77F5C"/>
    <w:rsid w:val="00A80EE9"/>
    <w:rsid w:val="00A834F8"/>
    <w:rsid w:val="00A850C9"/>
    <w:rsid w:val="00A85AD7"/>
    <w:rsid w:val="00A91E42"/>
    <w:rsid w:val="00A95122"/>
    <w:rsid w:val="00A96858"/>
    <w:rsid w:val="00AA0EA4"/>
    <w:rsid w:val="00AA2471"/>
    <w:rsid w:val="00AA46A0"/>
    <w:rsid w:val="00AB12A1"/>
    <w:rsid w:val="00AB1F16"/>
    <w:rsid w:val="00AB5C21"/>
    <w:rsid w:val="00AB74E2"/>
    <w:rsid w:val="00AB7A2C"/>
    <w:rsid w:val="00AC2034"/>
    <w:rsid w:val="00AC6563"/>
    <w:rsid w:val="00AC6627"/>
    <w:rsid w:val="00AD1FF5"/>
    <w:rsid w:val="00AD2FD9"/>
    <w:rsid w:val="00AD37F4"/>
    <w:rsid w:val="00AE0AC0"/>
    <w:rsid w:val="00AE4D6E"/>
    <w:rsid w:val="00AE700D"/>
    <w:rsid w:val="00AE7B04"/>
    <w:rsid w:val="00AF1677"/>
    <w:rsid w:val="00B0073A"/>
    <w:rsid w:val="00B01D4E"/>
    <w:rsid w:val="00B03CE4"/>
    <w:rsid w:val="00B04F42"/>
    <w:rsid w:val="00B055A7"/>
    <w:rsid w:val="00B057CB"/>
    <w:rsid w:val="00B15366"/>
    <w:rsid w:val="00B166E1"/>
    <w:rsid w:val="00B178F0"/>
    <w:rsid w:val="00B2252C"/>
    <w:rsid w:val="00B23C01"/>
    <w:rsid w:val="00B278A4"/>
    <w:rsid w:val="00B408D4"/>
    <w:rsid w:val="00B41829"/>
    <w:rsid w:val="00B440D8"/>
    <w:rsid w:val="00B445B3"/>
    <w:rsid w:val="00B466DB"/>
    <w:rsid w:val="00B50C59"/>
    <w:rsid w:val="00B52AF0"/>
    <w:rsid w:val="00B53B01"/>
    <w:rsid w:val="00B53EF7"/>
    <w:rsid w:val="00B55D40"/>
    <w:rsid w:val="00B61DA8"/>
    <w:rsid w:val="00B640C9"/>
    <w:rsid w:val="00B668D4"/>
    <w:rsid w:val="00B71525"/>
    <w:rsid w:val="00B72BD3"/>
    <w:rsid w:val="00B75306"/>
    <w:rsid w:val="00B828E4"/>
    <w:rsid w:val="00B940EE"/>
    <w:rsid w:val="00B948B0"/>
    <w:rsid w:val="00B973ED"/>
    <w:rsid w:val="00BA4209"/>
    <w:rsid w:val="00BB48B6"/>
    <w:rsid w:val="00BD2827"/>
    <w:rsid w:val="00BE4A1E"/>
    <w:rsid w:val="00BE515A"/>
    <w:rsid w:val="00BE6AC1"/>
    <w:rsid w:val="00BE6B11"/>
    <w:rsid w:val="00BF2123"/>
    <w:rsid w:val="00BF5EB2"/>
    <w:rsid w:val="00C0668D"/>
    <w:rsid w:val="00C06DD5"/>
    <w:rsid w:val="00C1154D"/>
    <w:rsid w:val="00C1421C"/>
    <w:rsid w:val="00C157E0"/>
    <w:rsid w:val="00C15B5F"/>
    <w:rsid w:val="00C211D0"/>
    <w:rsid w:val="00C225C7"/>
    <w:rsid w:val="00C269BB"/>
    <w:rsid w:val="00C270C7"/>
    <w:rsid w:val="00C27762"/>
    <w:rsid w:val="00C32759"/>
    <w:rsid w:val="00C33FA2"/>
    <w:rsid w:val="00C357D5"/>
    <w:rsid w:val="00C41CF6"/>
    <w:rsid w:val="00C42ABD"/>
    <w:rsid w:val="00C43582"/>
    <w:rsid w:val="00C45963"/>
    <w:rsid w:val="00C4600C"/>
    <w:rsid w:val="00C46E93"/>
    <w:rsid w:val="00C50DA6"/>
    <w:rsid w:val="00C62678"/>
    <w:rsid w:val="00C6433A"/>
    <w:rsid w:val="00C64D56"/>
    <w:rsid w:val="00C66887"/>
    <w:rsid w:val="00C67078"/>
    <w:rsid w:val="00C75876"/>
    <w:rsid w:val="00C76790"/>
    <w:rsid w:val="00C81A7A"/>
    <w:rsid w:val="00C8646D"/>
    <w:rsid w:val="00C910FB"/>
    <w:rsid w:val="00C91E77"/>
    <w:rsid w:val="00C92027"/>
    <w:rsid w:val="00C93CCF"/>
    <w:rsid w:val="00C94026"/>
    <w:rsid w:val="00CA0B6E"/>
    <w:rsid w:val="00CA1203"/>
    <w:rsid w:val="00CA7C56"/>
    <w:rsid w:val="00CB1C1E"/>
    <w:rsid w:val="00CB2379"/>
    <w:rsid w:val="00CB747B"/>
    <w:rsid w:val="00CB7A5C"/>
    <w:rsid w:val="00CC39EC"/>
    <w:rsid w:val="00CC6526"/>
    <w:rsid w:val="00CC7228"/>
    <w:rsid w:val="00CD4074"/>
    <w:rsid w:val="00CD55D2"/>
    <w:rsid w:val="00CF0C15"/>
    <w:rsid w:val="00CF3972"/>
    <w:rsid w:val="00CF449D"/>
    <w:rsid w:val="00D01911"/>
    <w:rsid w:val="00D03B8F"/>
    <w:rsid w:val="00D07095"/>
    <w:rsid w:val="00D12D05"/>
    <w:rsid w:val="00D14BF4"/>
    <w:rsid w:val="00D259B7"/>
    <w:rsid w:val="00D2667C"/>
    <w:rsid w:val="00D27621"/>
    <w:rsid w:val="00D3471E"/>
    <w:rsid w:val="00D43CDB"/>
    <w:rsid w:val="00D442EF"/>
    <w:rsid w:val="00D52EA6"/>
    <w:rsid w:val="00D53DA2"/>
    <w:rsid w:val="00D53E69"/>
    <w:rsid w:val="00D555A2"/>
    <w:rsid w:val="00D5603F"/>
    <w:rsid w:val="00D57208"/>
    <w:rsid w:val="00D627C5"/>
    <w:rsid w:val="00D62F90"/>
    <w:rsid w:val="00D708C6"/>
    <w:rsid w:val="00D7271E"/>
    <w:rsid w:val="00D72C2B"/>
    <w:rsid w:val="00D72DB5"/>
    <w:rsid w:val="00D763F5"/>
    <w:rsid w:val="00D77126"/>
    <w:rsid w:val="00DA0131"/>
    <w:rsid w:val="00DA3814"/>
    <w:rsid w:val="00DA4D56"/>
    <w:rsid w:val="00DA5A38"/>
    <w:rsid w:val="00DA7A95"/>
    <w:rsid w:val="00DA7DD6"/>
    <w:rsid w:val="00DB150B"/>
    <w:rsid w:val="00DB305B"/>
    <w:rsid w:val="00DB4DB7"/>
    <w:rsid w:val="00DB69F8"/>
    <w:rsid w:val="00DB7083"/>
    <w:rsid w:val="00DB7F01"/>
    <w:rsid w:val="00DC0A58"/>
    <w:rsid w:val="00DC48D1"/>
    <w:rsid w:val="00DC7E0A"/>
    <w:rsid w:val="00DD13EE"/>
    <w:rsid w:val="00DD5458"/>
    <w:rsid w:val="00DE32CB"/>
    <w:rsid w:val="00DE4790"/>
    <w:rsid w:val="00DF2E14"/>
    <w:rsid w:val="00DF3C24"/>
    <w:rsid w:val="00DF55A1"/>
    <w:rsid w:val="00DF60F3"/>
    <w:rsid w:val="00E050F6"/>
    <w:rsid w:val="00E10DBC"/>
    <w:rsid w:val="00E127CC"/>
    <w:rsid w:val="00E15D98"/>
    <w:rsid w:val="00E16579"/>
    <w:rsid w:val="00E23739"/>
    <w:rsid w:val="00E2420E"/>
    <w:rsid w:val="00E244CF"/>
    <w:rsid w:val="00E26E78"/>
    <w:rsid w:val="00E300C7"/>
    <w:rsid w:val="00E30DF3"/>
    <w:rsid w:val="00E32689"/>
    <w:rsid w:val="00E34437"/>
    <w:rsid w:val="00E344E9"/>
    <w:rsid w:val="00E360E1"/>
    <w:rsid w:val="00E370A6"/>
    <w:rsid w:val="00E50F78"/>
    <w:rsid w:val="00E547B8"/>
    <w:rsid w:val="00E56013"/>
    <w:rsid w:val="00E609C1"/>
    <w:rsid w:val="00E62B68"/>
    <w:rsid w:val="00E62F06"/>
    <w:rsid w:val="00E725E4"/>
    <w:rsid w:val="00E74ADE"/>
    <w:rsid w:val="00E761DA"/>
    <w:rsid w:val="00E76A5C"/>
    <w:rsid w:val="00E80D8A"/>
    <w:rsid w:val="00E84F39"/>
    <w:rsid w:val="00E853B4"/>
    <w:rsid w:val="00E85D77"/>
    <w:rsid w:val="00E86FB5"/>
    <w:rsid w:val="00E91A0D"/>
    <w:rsid w:val="00E93087"/>
    <w:rsid w:val="00E9492C"/>
    <w:rsid w:val="00E963CA"/>
    <w:rsid w:val="00E96D2F"/>
    <w:rsid w:val="00EA278B"/>
    <w:rsid w:val="00EA2C89"/>
    <w:rsid w:val="00EA49DD"/>
    <w:rsid w:val="00EA5576"/>
    <w:rsid w:val="00EA5CE4"/>
    <w:rsid w:val="00EA5D0D"/>
    <w:rsid w:val="00EA66C9"/>
    <w:rsid w:val="00EB017D"/>
    <w:rsid w:val="00EB3155"/>
    <w:rsid w:val="00EB3431"/>
    <w:rsid w:val="00EB43DA"/>
    <w:rsid w:val="00EC2100"/>
    <w:rsid w:val="00EC3941"/>
    <w:rsid w:val="00EC7716"/>
    <w:rsid w:val="00ED1465"/>
    <w:rsid w:val="00ED21B2"/>
    <w:rsid w:val="00ED414E"/>
    <w:rsid w:val="00ED53D1"/>
    <w:rsid w:val="00ED78DC"/>
    <w:rsid w:val="00EE0BBB"/>
    <w:rsid w:val="00EE48F4"/>
    <w:rsid w:val="00EF20C5"/>
    <w:rsid w:val="00F020AC"/>
    <w:rsid w:val="00F02B65"/>
    <w:rsid w:val="00F05124"/>
    <w:rsid w:val="00F05CA4"/>
    <w:rsid w:val="00F133DE"/>
    <w:rsid w:val="00F1436C"/>
    <w:rsid w:val="00F15302"/>
    <w:rsid w:val="00F20E99"/>
    <w:rsid w:val="00F20F21"/>
    <w:rsid w:val="00F23B77"/>
    <w:rsid w:val="00F25715"/>
    <w:rsid w:val="00F3028E"/>
    <w:rsid w:val="00F3319E"/>
    <w:rsid w:val="00F44C2E"/>
    <w:rsid w:val="00F47C34"/>
    <w:rsid w:val="00F500E5"/>
    <w:rsid w:val="00F504F8"/>
    <w:rsid w:val="00F50CE1"/>
    <w:rsid w:val="00F60580"/>
    <w:rsid w:val="00F60CA6"/>
    <w:rsid w:val="00F62DD6"/>
    <w:rsid w:val="00F630A2"/>
    <w:rsid w:val="00F636C1"/>
    <w:rsid w:val="00F64E3A"/>
    <w:rsid w:val="00F67223"/>
    <w:rsid w:val="00F672A0"/>
    <w:rsid w:val="00F675B3"/>
    <w:rsid w:val="00F80704"/>
    <w:rsid w:val="00F822E8"/>
    <w:rsid w:val="00F82CBE"/>
    <w:rsid w:val="00F85024"/>
    <w:rsid w:val="00F85BB4"/>
    <w:rsid w:val="00F905DE"/>
    <w:rsid w:val="00F94F19"/>
    <w:rsid w:val="00F950CA"/>
    <w:rsid w:val="00FA34CE"/>
    <w:rsid w:val="00FA3F1B"/>
    <w:rsid w:val="00FA4F7D"/>
    <w:rsid w:val="00FB465C"/>
    <w:rsid w:val="00FB575E"/>
    <w:rsid w:val="00FB6479"/>
    <w:rsid w:val="00FC05CA"/>
    <w:rsid w:val="00FC46ED"/>
    <w:rsid w:val="00FC52DA"/>
    <w:rsid w:val="00FC5999"/>
    <w:rsid w:val="00FC60B6"/>
    <w:rsid w:val="00FC6206"/>
    <w:rsid w:val="00FC64DE"/>
    <w:rsid w:val="00FC6C29"/>
    <w:rsid w:val="00FC7A51"/>
    <w:rsid w:val="00FD17E5"/>
    <w:rsid w:val="00FD68E4"/>
    <w:rsid w:val="00FD7372"/>
    <w:rsid w:val="00FE21D5"/>
    <w:rsid w:val="00FE23F2"/>
    <w:rsid w:val="00FE2B49"/>
    <w:rsid w:val="00FE2CF6"/>
    <w:rsid w:val="00FE78AC"/>
    <w:rsid w:val="00FF11CE"/>
    <w:rsid w:val="00FF13B3"/>
    <w:rsid w:val="00FF3940"/>
    <w:rsid w:val="00FF4FCE"/>
    <w:rsid w:val="00FF6E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264C54B8-2A7A-475A-8962-2B63AEDF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locked="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403C0A"/>
    <w:pPr>
      <w:numPr>
        <w:numId w:val="17"/>
      </w:numPr>
      <w:tabs>
        <w:tab w:val="clear" w:pos="1985"/>
      </w:tabs>
      <w:spacing w:before="0" w:line="260" w:lineRule="atLeast"/>
    </w:pPr>
    <w:rPr>
      <w:rFonts w:eastAsia="Times New Roman"/>
      <w:sz w:val="20"/>
      <w:lang w:eastAsia="en-US"/>
    </w:rPr>
  </w:style>
  <w:style w:type="numbering" w:customStyle="1" w:styleId="GarryNumbers11">
    <w:name w:val="Garry Numbers 11"/>
    <w:uiPriority w:val="99"/>
    <w:locked/>
    <w:rsid w:val="00DB4DB7"/>
  </w:style>
  <w:style w:type="numbering" w:customStyle="1" w:styleId="GarryNumbers12">
    <w:name w:val="Garry Numbers 12"/>
    <w:uiPriority w:val="99"/>
    <w:locked/>
    <w:rsid w:val="004565C3"/>
  </w:style>
  <w:style w:type="numbering" w:customStyle="1" w:styleId="GarryNumbers13">
    <w:name w:val="Garry Numbers 13"/>
    <w:uiPriority w:val="99"/>
    <w:locked/>
    <w:rsid w:val="004565C3"/>
  </w:style>
  <w:style w:type="numbering" w:customStyle="1" w:styleId="GarryNumbers14">
    <w:name w:val="Garry Numbers 14"/>
    <w:uiPriority w:val="99"/>
    <w:locked/>
    <w:rsid w:val="00CF449D"/>
  </w:style>
  <w:style w:type="numbering" w:customStyle="1" w:styleId="GarryNumbers15">
    <w:name w:val="Garry Numbers 15"/>
    <w:uiPriority w:val="99"/>
    <w:locked/>
    <w:rsid w:val="00317C6B"/>
  </w:style>
  <w:style w:type="numbering" w:customStyle="1" w:styleId="GarryNumbers16">
    <w:name w:val="Garry Numbers 16"/>
    <w:uiPriority w:val="99"/>
    <w:locked/>
    <w:rsid w:val="00182E8E"/>
  </w:style>
  <w:style w:type="numbering" w:customStyle="1" w:styleId="GarryNumbers17">
    <w:name w:val="Garry Numbers 17"/>
    <w:uiPriority w:val="99"/>
    <w:locked/>
    <w:rsid w:val="00182E8E"/>
  </w:style>
  <w:style w:type="numbering" w:customStyle="1" w:styleId="GarryNumbers18">
    <w:name w:val="Garry Numbers 18"/>
    <w:uiPriority w:val="99"/>
    <w:locked/>
    <w:rsid w:val="00501F3C"/>
  </w:style>
  <w:style w:type="numbering" w:customStyle="1" w:styleId="GarryNumbers19">
    <w:name w:val="Garry Numbers 19"/>
    <w:uiPriority w:val="99"/>
    <w:locked/>
    <w:rsid w:val="00AF1677"/>
  </w:style>
  <w:style w:type="numbering" w:customStyle="1" w:styleId="GarryNumbers110">
    <w:name w:val="Garry Numbers 110"/>
    <w:uiPriority w:val="99"/>
    <w:locked/>
    <w:rsid w:val="00AF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files.acecqa.gov.au/files/National-Quality-Framework-Resources-Kit/NQF-Resource-03-Guide-to-NQS.pdf" TargetMode="External"/><Relationship Id="rId2" Type="http://schemas.openxmlformats.org/officeDocument/2006/relationships/hyperlink" Target="http://files.acecqa.gov.au/files/National-Quality-Framework-Resources-Kit/NQF-Resource-02-Guide-to-ECS-Law-Regs.pdf" TargetMode="External"/><Relationship Id="rId1" Type="http://schemas.openxmlformats.org/officeDocument/2006/relationships/hyperlink" Target="http://files.acecqa.gov.au/files/NQF/Guide-to-the-NQ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6332-ECAB-49CF-8165-2909242D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48B66D3A</Template>
  <TotalTime>3</TotalTime>
  <Pages>7</Pages>
  <Words>2218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ACECQA</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O'Hara</dc:creator>
  <cp:lastModifiedBy>Michelle Edwards</cp:lastModifiedBy>
  <cp:revision>3</cp:revision>
  <cp:lastPrinted>2018-01-23T05:18:00Z</cp:lastPrinted>
  <dcterms:created xsi:type="dcterms:W3CDTF">2018-01-30T00:29:00Z</dcterms:created>
  <dcterms:modified xsi:type="dcterms:W3CDTF">2018-02-12T00:20:00Z</dcterms:modified>
</cp:coreProperties>
</file>